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Pr="00C8035B" w:rsidRDefault="00DC5C4E" w:rsidP="004A2D78">
      <w:pPr>
        <w:widowControl w:val="0"/>
        <w:spacing w:line="360" w:lineRule="auto"/>
        <w:ind w:right="49"/>
        <w:jc w:val="both"/>
        <w:rPr>
          <w:rFonts w:ascii="Palatino Linotype" w:eastAsia="Calibri" w:hAnsi="Palatino Linotype" w:cs="Arial"/>
          <w:b/>
          <w:color w:val="000000"/>
        </w:rPr>
      </w:pPr>
      <w:r w:rsidRPr="00C8035B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3E3A22">
        <w:rPr>
          <w:rFonts w:ascii="Palatino Linotype" w:hAnsi="Palatino Linotype" w:cs="Arial"/>
          <w:b/>
        </w:rPr>
        <w:t>CUADRAGÉSIMA SEXTA</w:t>
      </w:r>
      <w:r w:rsidR="00C70E10">
        <w:rPr>
          <w:rFonts w:ascii="Palatino Linotype" w:hAnsi="Palatino Linotype" w:cs="Arial"/>
          <w:b/>
        </w:rPr>
        <w:t xml:space="preserve"> </w:t>
      </w:r>
      <w:r w:rsidRPr="00C8035B">
        <w:rPr>
          <w:rFonts w:ascii="Palatino Linotype" w:hAnsi="Palatino Linotype" w:cs="Arial"/>
          <w:b/>
        </w:rPr>
        <w:t>SESIÓN ORDINARIA DE</w:t>
      </w:r>
      <w:r w:rsidR="004A2D78">
        <w:rPr>
          <w:rFonts w:ascii="Palatino Linotype" w:hAnsi="Palatino Linotype" w:cs="Arial"/>
          <w:b/>
        </w:rPr>
        <w:t xml:space="preserve"> </w:t>
      </w:r>
      <w:r w:rsidR="003E3A22">
        <w:rPr>
          <w:rFonts w:ascii="Palatino Linotype" w:hAnsi="Palatino Linotype" w:cs="Arial"/>
          <w:b/>
        </w:rPr>
        <w:t>DOCE DE DICIEMBRE</w:t>
      </w:r>
      <w:r w:rsidR="00C70E10">
        <w:rPr>
          <w:rFonts w:ascii="Palatino Linotype" w:hAnsi="Palatino Linotype" w:cs="Arial"/>
          <w:b/>
        </w:rPr>
        <w:t xml:space="preserve"> D</w:t>
      </w:r>
      <w:r w:rsidR="004A2D78">
        <w:rPr>
          <w:rFonts w:ascii="Palatino Linotype" w:hAnsi="Palatino Linotype" w:cs="Arial"/>
          <w:b/>
        </w:rPr>
        <w:t>E DOS MIL DIECIOCHO</w:t>
      </w:r>
      <w:r w:rsidRPr="00C8035B">
        <w:rPr>
          <w:rFonts w:ascii="Palatino Linotype" w:hAnsi="Palatino Linotype" w:cs="Arial"/>
          <w:b/>
        </w:rPr>
        <w:t xml:space="preserve">, EN </w:t>
      </w:r>
      <w:r w:rsidR="003E3A22">
        <w:rPr>
          <w:rFonts w:ascii="Palatino Linotype" w:hAnsi="Palatino Linotype" w:cs="Arial"/>
          <w:b/>
        </w:rPr>
        <w:t>LOS</w:t>
      </w:r>
      <w:r w:rsidRPr="00C8035B">
        <w:rPr>
          <w:rFonts w:ascii="Palatino Linotype" w:hAnsi="Palatino Linotype" w:cs="Arial"/>
          <w:b/>
        </w:rPr>
        <w:t xml:space="preserve"> RECURSO</w:t>
      </w:r>
      <w:r w:rsidR="003E3A22">
        <w:rPr>
          <w:rFonts w:ascii="Palatino Linotype" w:hAnsi="Palatino Linotype" w:cs="Arial"/>
          <w:b/>
        </w:rPr>
        <w:t>S</w:t>
      </w:r>
      <w:r w:rsidRPr="00C8035B">
        <w:rPr>
          <w:rFonts w:ascii="Palatino Linotype" w:hAnsi="Palatino Linotype" w:cs="Arial"/>
          <w:b/>
        </w:rPr>
        <w:t xml:space="preserve"> DE REVISIÓN </w:t>
      </w:r>
      <w:r w:rsidR="00ED4B19" w:rsidRPr="00ED4B19">
        <w:rPr>
          <w:rFonts w:ascii="Palatino Linotype" w:hAnsi="Palatino Linotype" w:cs="Arial"/>
          <w:b/>
        </w:rPr>
        <w:t>03977/INFOEM/IP/RR/2018 Y 03978/INFOEM/IP/RR/2018 ACUMULADOS</w:t>
      </w:r>
      <w:r w:rsidRPr="00C8035B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C8035B" w:rsidRDefault="00DC5C4E" w:rsidP="004A2D78">
      <w:pPr>
        <w:widowControl w:val="0"/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:rsidR="00DC5C4E" w:rsidRPr="00C8035B" w:rsidRDefault="00DC5C4E" w:rsidP="004A2D78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</w:rPr>
        <w:t>Con fundamento en lo dispuesto por el artículo 14</w:t>
      </w:r>
      <w:r w:rsidR="00C026C0">
        <w:rPr>
          <w:rFonts w:ascii="Palatino Linotype" w:hAnsi="Palatino Linotype" w:cs="Arial"/>
        </w:rPr>
        <w:t>,</w:t>
      </w:r>
      <w:r w:rsidRPr="00C8035B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C8035B">
        <w:rPr>
          <w:rFonts w:ascii="Palatino Linotype" w:hAnsi="Palatino Linotype" w:cs="Arial"/>
          <w:b/>
          <w:lang w:val="es-ES_tradnl"/>
        </w:rPr>
        <w:t xml:space="preserve"> </w:t>
      </w:r>
      <w:r w:rsidRPr="00C8035B">
        <w:rPr>
          <w:rFonts w:ascii="Palatino Linotype" w:hAnsi="Palatino Linotype" w:cs="Arial"/>
          <w:b/>
        </w:rPr>
        <w:t xml:space="preserve">EVA ABAID YAPUR </w:t>
      </w:r>
      <w:r w:rsidRPr="00C8035B">
        <w:rPr>
          <w:rFonts w:ascii="Palatino Linotype" w:hAnsi="Palatino Linotype" w:cs="Arial"/>
        </w:rPr>
        <w:t xml:space="preserve">emite </w:t>
      </w:r>
      <w:r w:rsidRPr="00C8035B">
        <w:rPr>
          <w:rFonts w:ascii="Palatino Linotype" w:hAnsi="Palatino Linotype" w:cs="Arial"/>
          <w:b/>
        </w:rPr>
        <w:t xml:space="preserve">VOTO PARTICULAR </w:t>
      </w:r>
      <w:r w:rsidRPr="00C8035B">
        <w:rPr>
          <w:rFonts w:ascii="Palatino Linotype" w:hAnsi="Palatino Linotype" w:cs="Arial"/>
        </w:rPr>
        <w:t xml:space="preserve">respecto de la resolución dictada en </w:t>
      </w:r>
      <w:r w:rsidR="003E3A22">
        <w:rPr>
          <w:rFonts w:ascii="Palatino Linotype" w:hAnsi="Palatino Linotype" w:cs="Arial"/>
        </w:rPr>
        <w:t>los</w:t>
      </w:r>
      <w:r w:rsidRPr="00C8035B">
        <w:rPr>
          <w:rFonts w:ascii="Palatino Linotype" w:hAnsi="Palatino Linotype" w:cs="Arial"/>
        </w:rPr>
        <w:t xml:space="preserve"> recurso</w:t>
      </w:r>
      <w:r w:rsidR="003E3A22">
        <w:rPr>
          <w:rFonts w:ascii="Palatino Linotype" w:hAnsi="Palatino Linotype" w:cs="Arial"/>
        </w:rPr>
        <w:t>s</w:t>
      </w:r>
      <w:r w:rsidRPr="00C8035B">
        <w:rPr>
          <w:rFonts w:ascii="Palatino Linotype" w:hAnsi="Palatino Linotype" w:cs="Arial"/>
        </w:rPr>
        <w:t xml:space="preserve"> de revisión </w:t>
      </w:r>
      <w:r w:rsidR="00ED4B19" w:rsidRPr="00ED4B19">
        <w:rPr>
          <w:rFonts w:ascii="Palatino Linotype" w:eastAsia="Calibri" w:hAnsi="Palatino Linotype" w:cs="Arial"/>
          <w:b/>
          <w:color w:val="000000"/>
        </w:rPr>
        <w:t xml:space="preserve">03977/INFOEM/IP/RR/2018 </w:t>
      </w:r>
      <w:r w:rsidR="00ED4B19" w:rsidRPr="00ED4B19">
        <w:rPr>
          <w:rFonts w:ascii="Palatino Linotype" w:eastAsia="Calibri" w:hAnsi="Palatino Linotype" w:cs="Arial"/>
          <w:color w:val="000000"/>
        </w:rPr>
        <w:t>y</w:t>
      </w:r>
      <w:r w:rsidR="00ED4B19" w:rsidRPr="00ED4B19">
        <w:rPr>
          <w:rFonts w:ascii="Palatino Linotype" w:eastAsia="Calibri" w:hAnsi="Palatino Linotype" w:cs="Arial"/>
          <w:b/>
          <w:color w:val="000000"/>
        </w:rPr>
        <w:t xml:space="preserve"> 03978/INFOEM/IP/RR/2018</w:t>
      </w:r>
      <w:r w:rsidR="003E3A22">
        <w:rPr>
          <w:rFonts w:ascii="Palatino Linotype" w:eastAsia="Calibri" w:hAnsi="Palatino Linotype" w:cs="Arial"/>
          <w:b/>
          <w:color w:val="000000"/>
        </w:rPr>
        <w:t xml:space="preserve"> </w:t>
      </w:r>
      <w:r w:rsidR="003E3A22">
        <w:rPr>
          <w:rFonts w:ascii="Palatino Linotype" w:eastAsia="Calibri" w:hAnsi="Palatino Linotype" w:cs="Arial"/>
          <w:color w:val="000000"/>
        </w:rPr>
        <w:t>acumulados</w:t>
      </w:r>
      <w:r w:rsidRPr="00C8035B">
        <w:rPr>
          <w:rFonts w:ascii="Palatino Linotype" w:hAnsi="Palatino Linotype" w:cs="Arial"/>
        </w:rPr>
        <w:t>, pronunciada por el Pleno de este Instituto a</w:t>
      </w:r>
      <w:r w:rsidR="00C70E10">
        <w:rPr>
          <w:rFonts w:ascii="Palatino Linotype" w:hAnsi="Palatino Linotype" w:cs="Arial"/>
        </w:rPr>
        <w:t>nte el proyecto presentado por</w:t>
      </w:r>
      <w:r w:rsidR="00ED4B19">
        <w:rPr>
          <w:rFonts w:ascii="Palatino Linotype" w:hAnsi="Palatino Linotype" w:cs="Arial"/>
        </w:rPr>
        <w:t xml:space="preserve"> returno por</w:t>
      </w:r>
      <w:r w:rsidR="00C70E10">
        <w:rPr>
          <w:rFonts w:ascii="Palatino Linotype" w:hAnsi="Palatino Linotype" w:cs="Arial"/>
        </w:rPr>
        <w:t xml:space="preserve"> </w:t>
      </w:r>
      <w:r w:rsidR="00C81447">
        <w:rPr>
          <w:rFonts w:ascii="Palatino Linotype" w:hAnsi="Palatino Linotype" w:cs="Arial"/>
        </w:rPr>
        <w:t>el</w:t>
      </w:r>
      <w:r w:rsidR="00C70E10">
        <w:rPr>
          <w:rFonts w:ascii="Palatino Linotype" w:hAnsi="Palatino Linotype" w:cs="Arial"/>
        </w:rPr>
        <w:t xml:space="preserve"> Comisionad</w:t>
      </w:r>
      <w:r w:rsidR="00C81447">
        <w:rPr>
          <w:rFonts w:ascii="Palatino Linotype" w:hAnsi="Palatino Linotype" w:cs="Arial"/>
        </w:rPr>
        <w:t xml:space="preserve">o </w:t>
      </w:r>
      <w:r w:rsidR="00ED4B19">
        <w:rPr>
          <w:rFonts w:ascii="Palatino Linotype" w:hAnsi="Palatino Linotype" w:cs="Arial"/>
          <w:b/>
        </w:rPr>
        <w:t>JAVIER MARTÍNEZ CRUZ</w:t>
      </w:r>
      <w:r w:rsidR="00135DAD">
        <w:rPr>
          <w:rFonts w:ascii="Palatino Linotype" w:hAnsi="Palatino Linotype" w:cs="Arial"/>
        </w:rPr>
        <w:t>, que es del tenor siguiente.</w:t>
      </w:r>
    </w:p>
    <w:p w:rsidR="00C8035B" w:rsidRPr="00C8035B" w:rsidRDefault="00C8035B" w:rsidP="004A2D78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DC5C4E" w:rsidRPr="00C8035B" w:rsidRDefault="00DC5C4E" w:rsidP="004A2D78">
      <w:pPr>
        <w:spacing w:line="360" w:lineRule="auto"/>
        <w:ind w:right="49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t xml:space="preserve">Es de destacar, que la suscrita comparte esencialmente el estudio realizado en la resolución del recurso de revisión; empero, </w:t>
      </w:r>
      <w:r w:rsidR="00ED4B19">
        <w:rPr>
          <w:rFonts w:ascii="Palatino Linotype" w:hAnsi="Palatino Linotype"/>
        </w:rPr>
        <w:t xml:space="preserve">estimo </w:t>
      </w:r>
      <w:r w:rsidRPr="00C8035B">
        <w:rPr>
          <w:rFonts w:ascii="Palatino Linotype" w:hAnsi="Palatino Linotype"/>
        </w:rPr>
        <w:t>necesario precisar algunas consideraciones de hecho y de derecho, tocante a</w:t>
      </w:r>
      <w:r w:rsidR="00135DAD">
        <w:rPr>
          <w:rFonts w:ascii="Palatino Linotype" w:hAnsi="Palatino Linotype"/>
        </w:rPr>
        <w:t xml:space="preserve"> parte de lo que se ordena en </w:t>
      </w:r>
      <w:r w:rsidRPr="00C8035B">
        <w:rPr>
          <w:rFonts w:ascii="Palatino Linotype" w:hAnsi="Palatino Linotype"/>
        </w:rPr>
        <w:t>la resolución correspondiente.</w:t>
      </w:r>
    </w:p>
    <w:p w:rsidR="00DC5C4E" w:rsidRPr="00C8035B" w:rsidRDefault="00DC5C4E" w:rsidP="004A2D78">
      <w:pPr>
        <w:widowControl w:val="0"/>
        <w:spacing w:line="360" w:lineRule="auto"/>
        <w:ind w:right="49"/>
        <w:jc w:val="both"/>
        <w:rPr>
          <w:rFonts w:ascii="Palatino Linotype" w:hAnsi="Palatino Linotype"/>
        </w:rPr>
      </w:pPr>
    </w:p>
    <w:p w:rsidR="000479A9" w:rsidRDefault="00DC5C4E" w:rsidP="004A2D78">
      <w:pPr>
        <w:spacing w:line="360" w:lineRule="auto"/>
        <w:ind w:right="49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lastRenderedPageBreak/>
        <w:t xml:space="preserve">Al respecto, tal y como quedó debidamente asentado en la resolución materia del presente voto, el particular </w:t>
      </w:r>
      <w:r w:rsidR="00B51260" w:rsidRPr="00C8035B">
        <w:rPr>
          <w:rFonts w:ascii="Palatino Linotype" w:hAnsi="Palatino Linotype"/>
        </w:rPr>
        <w:t>requirió del</w:t>
      </w:r>
      <w:r w:rsidR="00017A8B" w:rsidRPr="00C8035B">
        <w:rPr>
          <w:rFonts w:ascii="Palatino Linotype" w:hAnsi="Palatino Linotype"/>
        </w:rPr>
        <w:t xml:space="preserve"> </w:t>
      </w:r>
      <w:r w:rsidR="000D1151" w:rsidRPr="000D1151">
        <w:rPr>
          <w:rFonts w:ascii="Palatino Linotype" w:hAnsi="Palatino Linotype"/>
          <w:b/>
        </w:rPr>
        <w:t>Instituto Electoral del Estado de México</w:t>
      </w:r>
      <w:r w:rsidR="00C026C0">
        <w:rPr>
          <w:rFonts w:ascii="Palatino Linotype" w:hAnsi="Palatino Linotype"/>
          <w:b/>
        </w:rPr>
        <w:t>,</w:t>
      </w:r>
      <w:r w:rsidR="000D1151" w:rsidRPr="000D1151">
        <w:rPr>
          <w:rFonts w:ascii="Palatino Linotype" w:hAnsi="Palatino Linotype"/>
          <w:b/>
        </w:rPr>
        <w:t xml:space="preserve"> </w:t>
      </w:r>
      <w:r w:rsidR="00C70E10" w:rsidRPr="00C70E10">
        <w:rPr>
          <w:rFonts w:ascii="Palatino Linotype" w:hAnsi="Palatino Linotype"/>
        </w:rPr>
        <w:t xml:space="preserve">en lo subsecuente </w:t>
      </w:r>
      <w:r w:rsidR="00C70E10">
        <w:rPr>
          <w:rFonts w:ascii="Palatino Linotype" w:hAnsi="Palatino Linotype"/>
          <w:b/>
        </w:rPr>
        <w:t>EL</w:t>
      </w:r>
      <w:r w:rsidR="00C70E10" w:rsidRPr="00C70E10">
        <w:rPr>
          <w:rFonts w:ascii="Palatino Linotype" w:hAnsi="Palatino Linotype"/>
        </w:rPr>
        <w:t xml:space="preserve"> </w:t>
      </w:r>
      <w:r w:rsidRPr="00C8035B">
        <w:rPr>
          <w:rFonts w:ascii="Palatino Linotype" w:hAnsi="Palatino Linotype"/>
          <w:b/>
        </w:rPr>
        <w:t>SUJETO OBLIGADO</w:t>
      </w:r>
      <w:r w:rsidR="00C70E10">
        <w:rPr>
          <w:rFonts w:ascii="Palatino Linotype" w:hAnsi="Palatino Linotype"/>
          <w:b/>
        </w:rPr>
        <w:t>,</w:t>
      </w:r>
      <w:r w:rsidR="00135DAD">
        <w:rPr>
          <w:rFonts w:ascii="Palatino Linotype" w:hAnsi="Palatino Linotype"/>
        </w:rPr>
        <w:t xml:space="preserve"> </w:t>
      </w:r>
      <w:r w:rsidR="00732411">
        <w:rPr>
          <w:rFonts w:ascii="Palatino Linotype" w:hAnsi="Palatino Linotype"/>
        </w:rPr>
        <w:t>l</w:t>
      </w:r>
      <w:r w:rsidR="004A2D78">
        <w:rPr>
          <w:rFonts w:ascii="Palatino Linotype" w:hAnsi="Palatino Linotype"/>
        </w:rPr>
        <w:t xml:space="preserve">a </w:t>
      </w:r>
      <w:r w:rsidR="00FC32B9">
        <w:rPr>
          <w:rFonts w:ascii="Palatino Linotype" w:hAnsi="Palatino Linotype"/>
        </w:rPr>
        <w:t>información</w:t>
      </w:r>
      <w:r w:rsidR="004A2D78">
        <w:rPr>
          <w:rFonts w:ascii="Palatino Linotype" w:hAnsi="Palatino Linotype"/>
        </w:rPr>
        <w:t xml:space="preserve"> que a continuación se enlista:</w:t>
      </w:r>
    </w:p>
    <w:p w:rsidR="004A2D78" w:rsidRDefault="004A2D78" w:rsidP="004A2D78">
      <w:pPr>
        <w:spacing w:line="360" w:lineRule="auto"/>
        <w:ind w:right="49"/>
        <w:jc w:val="both"/>
        <w:rPr>
          <w:rFonts w:ascii="Palatino Linotype" w:hAnsi="Palatino Linotype"/>
        </w:rPr>
      </w:pPr>
    </w:p>
    <w:p w:rsidR="00ED4B19" w:rsidRDefault="00ED4B19" w:rsidP="00ED4B19">
      <w:pPr>
        <w:spacing w:line="360" w:lineRule="auto"/>
        <w:ind w:left="709" w:right="757"/>
        <w:jc w:val="both"/>
        <w:rPr>
          <w:rFonts w:ascii="Palatino Linotype" w:eastAsiaTheme="minorEastAsia" w:hAnsi="Palatino Linotype" w:cstheme="minorBidi"/>
          <w:lang w:val="es-ES_tradnl" w:eastAsia="es-MX"/>
        </w:rPr>
      </w:pPr>
      <w:r w:rsidRPr="00ED4B19">
        <w:rPr>
          <w:rFonts w:ascii="Palatino Linotype" w:eastAsiaTheme="minorEastAsia" w:hAnsi="Palatino Linotype" w:cstheme="minorBidi"/>
          <w:lang w:val="es-ES_tradnl" w:eastAsia="es-MX"/>
        </w:rPr>
        <w:t>Las grabaciones de las entrevistas realizadas a los aspirantes del proceso electoral 2017-2018, a:</w:t>
      </w:r>
    </w:p>
    <w:p w:rsidR="00ED4B19" w:rsidRPr="00ED4B19" w:rsidRDefault="00ED4B19" w:rsidP="00ED4B19">
      <w:pPr>
        <w:spacing w:line="360" w:lineRule="auto"/>
        <w:ind w:left="709" w:right="757"/>
        <w:jc w:val="both"/>
        <w:rPr>
          <w:rFonts w:ascii="Palatino Linotype" w:eastAsiaTheme="minorEastAsia" w:hAnsi="Palatino Linotype" w:cstheme="minorBidi"/>
          <w:lang w:val="es-ES_tradnl" w:eastAsia="es-MX"/>
        </w:rPr>
      </w:pPr>
    </w:p>
    <w:p w:rsidR="00ED4B19" w:rsidRPr="00ED4B19" w:rsidRDefault="00ED4B19" w:rsidP="00ED4B19">
      <w:pPr>
        <w:pStyle w:val="Prrafodelista"/>
        <w:numPr>
          <w:ilvl w:val="0"/>
          <w:numId w:val="10"/>
        </w:numPr>
        <w:spacing w:line="360" w:lineRule="auto"/>
        <w:ind w:right="757"/>
        <w:jc w:val="both"/>
        <w:rPr>
          <w:rFonts w:ascii="Palatino Linotype" w:hAnsi="Palatino Linotype"/>
          <w:lang w:eastAsia="es-MX"/>
        </w:rPr>
      </w:pPr>
      <w:r w:rsidRPr="00ED4B19">
        <w:rPr>
          <w:rFonts w:ascii="Palatino Linotype" w:hAnsi="Palatino Linotype"/>
          <w:lang w:eastAsia="es-MX"/>
        </w:rPr>
        <w:t xml:space="preserve">Vocales Municipales de las 125 Juntas Municipales </w:t>
      </w:r>
    </w:p>
    <w:p w:rsidR="00ED4B19" w:rsidRPr="00ED4B19" w:rsidRDefault="00ED4B19" w:rsidP="00ED4B19">
      <w:pPr>
        <w:pStyle w:val="Prrafodelista"/>
        <w:numPr>
          <w:ilvl w:val="0"/>
          <w:numId w:val="10"/>
        </w:numPr>
        <w:spacing w:line="360" w:lineRule="auto"/>
        <w:ind w:right="757"/>
        <w:jc w:val="both"/>
        <w:rPr>
          <w:rFonts w:ascii="Palatino Linotype" w:hAnsi="Palatino Linotype"/>
          <w:lang w:eastAsia="es-MX"/>
        </w:rPr>
      </w:pPr>
      <w:r w:rsidRPr="00ED4B19">
        <w:rPr>
          <w:rFonts w:ascii="Palatino Linotype" w:hAnsi="Palatino Linotype"/>
          <w:lang w:eastAsia="es-MX"/>
        </w:rPr>
        <w:t xml:space="preserve">Vocales Distritales de las 45 Juntas Distritales </w:t>
      </w:r>
    </w:p>
    <w:p w:rsidR="00ED4B19" w:rsidRDefault="00ED4B19" w:rsidP="00ED4B19">
      <w:pPr>
        <w:spacing w:line="360" w:lineRule="auto"/>
        <w:ind w:right="49"/>
        <w:jc w:val="both"/>
        <w:rPr>
          <w:rFonts w:ascii="Palatino Linotype" w:eastAsiaTheme="minorEastAsia" w:hAnsi="Palatino Linotype" w:cstheme="minorBidi"/>
          <w:i/>
          <w:sz w:val="22"/>
          <w:lang w:val="es-ES_tradnl" w:eastAsia="es-MX"/>
        </w:rPr>
      </w:pPr>
    </w:p>
    <w:p w:rsidR="000A7F22" w:rsidRPr="007F1F51" w:rsidRDefault="00B51260" w:rsidP="00ED4B19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</w:rPr>
        <w:t>De las constancias que obran</w:t>
      </w:r>
      <w:r w:rsidR="00674996" w:rsidRPr="00C8035B">
        <w:rPr>
          <w:rFonts w:ascii="Palatino Linotype" w:hAnsi="Palatino Linotype" w:cs="Arial"/>
        </w:rPr>
        <w:t xml:space="preserve"> dentro de</w:t>
      </w:r>
      <w:r w:rsidR="003E3A22">
        <w:rPr>
          <w:rFonts w:ascii="Palatino Linotype" w:hAnsi="Palatino Linotype" w:cs="Arial"/>
        </w:rPr>
        <w:t xml:space="preserve"> </w:t>
      </w:r>
      <w:r w:rsidR="00674996" w:rsidRPr="00C8035B">
        <w:rPr>
          <w:rFonts w:ascii="Palatino Linotype" w:hAnsi="Palatino Linotype" w:cs="Arial"/>
        </w:rPr>
        <w:t>l</w:t>
      </w:r>
      <w:r w:rsidR="003E3A22">
        <w:rPr>
          <w:rFonts w:ascii="Palatino Linotype" w:hAnsi="Palatino Linotype" w:cs="Arial"/>
        </w:rPr>
        <w:t>os</w:t>
      </w:r>
      <w:r w:rsidR="00674996" w:rsidRPr="00C8035B">
        <w:rPr>
          <w:rFonts w:ascii="Palatino Linotype" w:hAnsi="Palatino Linotype" w:cs="Arial"/>
        </w:rPr>
        <w:t xml:space="preserve"> expediente</w:t>
      </w:r>
      <w:r w:rsidR="003E3A22">
        <w:rPr>
          <w:rFonts w:ascii="Palatino Linotype" w:hAnsi="Palatino Linotype" w:cs="Arial"/>
        </w:rPr>
        <w:t>s</w:t>
      </w:r>
      <w:r w:rsidR="00674996" w:rsidRPr="00C8035B">
        <w:rPr>
          <w:rFonts w:ascii="Palatino Linotype" w:hAnsi="Palatino Linotype" w:cs="Arial"/>
        </w:rPr>
        <w:t xml:space="preserve"> electrónico</w:t>
      </w:r>
      <w:r w:rsidR="003E3A22">
        <w:rPr>
          <w:rFonts w:ascii="Palatino Linotype" w:hAnsi="Palatino Linotype" w:cs="Arial"/>
        </w:rPr>
        <w:t>s</w:t>
      </w:r>
      <w:r w:rsidR="00674996" w:rsidRPr="00C8035B">
        <w:rPr>
          <w:rFonts w:ascii="Palatino Linotype" w:hAnsi="Palatino Linotype" w:cs="Arial"/>
        </w:rPr>
        <w:t xml:space="preserve"> del</w:t>
      </w:r>
      <w:r w:rsidR="00767B65" w:rsidRPr="00C8035B">
        <w:rPr>
          <w:rFonts w:ascii="Palatino Linotype" w:hAnsi="Palatino Linotype" w:cs="Arial"/>
        </w:rPr>
        <w:t xml:space="preserve"> Sistema de Acceso a la Información Mexiquense en lo subsecuente el</w:t>
      </w:r>
      <w:r w:rsidR="00674996" w:rsidRPr="00C8035B">
        <w:rPr>
          <w:rFonts w:ascii="Palatino Linotype" w:hAnsi="Palatino Linotype" w:cs="Arial"/>
        </w:rPr>
        <w:t xml:space="preserve"> </w:t>
      </w:r>
      <w:r w:rsidR="00674996" w:rsidRPr="00C8035B">
        <w:rPr>
          <w:rFonts w:ascii="Palatino Linotype" w:hAnsi="Palatino Linotype" w:cs="Arial"/>
          <w:b/>
        </w:rPr>
        <w:t>SAIMEX</w:t>
      </w:r>
      <w:r w:rsidR="00767B65" w:rsidRPr="00C8035B">
        <w:rPr>
          <w:rFonts w:ascii="Palatino Linotype" w:hAnsi="Palatino Linotype" w:cs="Arial"/>
          <w:b/>
        </w:rPr>
        <w:t>,</w:t>
      </w:r>
      <w:r w:rsidR="00674996" w:rsidRPr="00C8035B">
        <w:rPr>
          <w:rFonts w:ascii="Palatino Linotype" w:hAnsi="Palatino Linotype" w:cs="Arial"/>
        </w:rPr>
        <w:t xml:space="preserve"> </w:t>
      </w:r>
      <w:r w:rsidR="00E15CE2" w:rsidRPr="00C8035B">
        <w:rPr>
          <w:rFonts w:ascii="Palatino Linotype" w:hAnsi="Palatino Linotype" w:cs="Arial"/>
        </w:rPr>
        <w:t>se advierte q</w:t>
      </w:r>
      <w:r w:rsidR="00674996" w:rsidRPr="00C8035B">
        <w:rPr>
          <w:rFonts w:ascii="Palatino Linotype" w:hAnsi="Palatino Linotype" w:cs="Arial"/>
        </w:rPr>
        <w:t>ue</w:t>
      </w:r>
      <w:r w:rsidR="00DC5C4E" w:rsidRPr="00C8035B">
        <w:rPr>
          <w:rFonts w:ascii="Palatino Linotype" w:hAnsi="Palatino Linotype" w:cs="Arial"/>
        </w:rPr>
        <w:t xml:space="preserve"> </w:t>
      </w:r>
      <w:r w:rsidR="00DC5C4E" w:rsidRPr="00C8035B">
        <w:rPr>
          <w:rFonts w:ascii="Palatino Linotype" w:hAnsi="Palatino Linotype" w:cs="Arial"/>
          <w:b/>
        </w:rPr>
        <w:t>EL SUJETO OBLIGADO</w:t>
      </w:r>
      <w:r w:rsidR="00DC5C4E" w:rsidRPr="000479A9">
        <w:rPr>
          <w:rFonts w:ascii="Palatino Linotype" w:hAnsi="Palatino Linotype" w:cs="Arial"/>
        </w:rPr>
        <w:t>,</w:t>
      </w:r>
      <w:r w:rsidR="00674996" w:rsidRPr="000479A9">
        <w:rPr>
          <w:rFonts w:ascii="Palatino Linotype" w:hAnsi="Palatino Linotype" w:cs="Arial"/>
        </w:rPr>
        <w:t xml:space="preserve"> </w:t>
      </w:r>
      <w:r w:rsidR="00F34E3D">
        <w:rPr>
          <w:rFonts w:ascii="Palatino Linotype" w:hAnsi="Palatino Linotype" w:cs="Arial"/>
        </w:rPr>
        <w:t xml:space="preserve">como respuesta informó de los antecedentes de la solicitud refiriendo el número de las formuladas con anterioridad, </w:t>
      </w:r>
      <w:r w:rsidR="00F34E3D" w:rsidRPr="00F34E3D">
        <w:rPr>
          <w:rFonts w:ascii="Palatino Linotype" w:hAnsi="Palatino Linotype" w:cs="Arial"/>
        </w:rPr>
        <w:t>las cuales corresponden con la información pública solicitada en el presente asunto, misma que ya fue requerida por la misma persona y resuelta por el Pleno de este Instituto mediante recurso de revisión 00236/INFOEM/IP/RR/2018 y acumulados</w:t>
      </w:r>
      <w:r w:rsidR="00C026C0">
        <w:rPr>
          <w:rFonts w:ascii="Palatino Linotype" w:hAnsi="Palatino Linotype" w:cs="Arial"/>
        </w:rPr>
        <w:t>, mismo que causó estado</w:t>
      </w:r>
      <w:r w:rsidR="00F34E3D" w:rsidRPr="00F34E3D">
        <w:rPr>
          <w:rFonts w:ascii="Palatino Linotype" w:hAnsi="Palatino Linotype" w:cs="Arial"/>
        </w:rPr>
        <w:t xml:space="preserve">; </w:t>
      </w:r>
      <w:r w:rsidR="00F34E3D">
        <w:rPr>
          <w:rFonts w:ascii="Palatino Linotype" w:hAnsi="Palatino Linotype" w:cs="Arial"/>
        </w:rPr>
        <w:t>por lo que</w:t>
      </w:r>
      <w:r w:rsidR="00C026C0">
        <w:rPr>
          <w:rFonts w:ascii="Palatino Linotype" w:hAnsi="Palatino Linotype" w:cs="Arial"/>
        </w:rPr>
        <w:t>,</w:t>
      </w:r>
      <w:r w:rsidR="00F34E3D">
        <w:rPr>
          <w:rFonts w:ascii="Palatino Linotype" w:hAnsi="Palatino Linotype" w:cs="Arial"/>
        </w:rPr>
        <w:t xml:space="preserve"> </w:t>
      </w:r>
      <w:r w:rsidR="00F34E3D" w:rsidRPr="00F34E3D">
        <w:rPr>
          <w:rFonts w:ascii="Palatino Linotype" w:hAnsi="Palatino Linotype" w:cs="Arial"/>
        </w:rPr>
        <w:t>se encontraba en posibilidades de poner a disposición del solicitante la información en los términos aprobados</w:t>
      </w:r>
      <w:r w:rsidR="00F34E3D">
        <w:rPr>
          <w:rFonts w:ascii="Palatino Linotype" w:hAnsi="Palatino Linotype" w:cs="Arial"/>
        </w:rPr>
        <w:t>.</w:t>
      </w:r>
    </w:p>
    <w:p w:rsidR="000A7F22" w:rsidRDefault="000A7F22" w:rsidP="004A2D78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0A7F22" w:rsidRDefault="00B51260" w:rsidP="00F34E3D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</w:rPr>
        <w:t>Atento a lo anterior</w:t>
      </w:r>
      <w:r w:rsidR="00DC5C4E" w:rsidRPr="00C8035B">
        <w:rPr>
          <w:rFonts w:ascii="Palatino Linotype" w:hAnsi="Palatino Linotype" w:cs="Arial"/>
        </w:rPr>
        <w:t xml:space="preserve">, la Ponencia Resolutora determinó </w:t>
      </w:r>
      <w:r w:rsidR="00C70E10">
        <w:rPr>
          <w:rFonts w:ascii="Palatino Linotype" w:hAnsi="Palatino Linotype" w:cs="Arial"/>
          <w:b/>
        </w:rPr>
        <w:t>REVOCAR</w:t>
      </w:r>
      <w:r w:rsidR="007F1F51" w:rsidRPr="007F1F51">
        <w:rPr>
          <w:rFonts w:ascii="Palatino Linotype" w:hAnsi="Palatino Linotype" w:cs="Arial"/>
          <w:b/>
        </w:rPr>
        <w:t xml:space="preserve"> </w:t>
      </w:r>
      <w:r w:rsidR="007F1F51" w:rsidRPr="007F1F51">
        <w:rPr>
          <w:rFonts w:ascii="Palatino Linotype" w:hAnsi="Palatino Linotype" w:cs="Arial"/>
        </w:rPr>
        <w:t xml:space="preserve">la respuesta emitida por </w:t>
      </w:r>
      <w:r w:rsidR="00C70E10">
        <w:rPr>
          <w:rFonts w:ascii="Palatino Linotype" w:hAnsi="Palatino Linotype" w:cs="Arial"/>
          <w:b/>
        </w:rPr>
        <w:t>EL SUJETO OBLIGADO,</w:t>
      </w:r>
      <w:r w:rsidR="007F1F51" w:rsidRPr="007F1F51">
        <w:rPr>
          <w:rFonts w:ascii="Palatino Linotype" w:hAnsi="Palatino Linotype" w:cs="Arial"/>
        </w:rPr>
        <w:t xml:space="preserve"> </w:t>
      </w:r>
      <w:r w:rsidR="007F1F51">
        <w:rPr>
          <w:rFonts w:ascii="Palatino Linotype" w:hAnsi="Palatino Linotype" w:cs="Arial"/>
        </w:rPr>
        <w:t xml:space="preserve">ordenándole entregar, </w:t>
      </w:r>
      <w:r w:rsidR="00F34E3D" w:rsidRPr="00F34E3D">
        <w:rPr>
          <w:rFonts w:ascii="Palatino Linotype" w:hAnsi="Palatino Linotype" w:cs="Arial"/>
        </w:rPr>
        <w:t xml:space="preserve">en el medio magnético </w:t>
      </w:r>
      <w:r w:rsidR="00F34E3D" w:rsidRPr="00F34E3D">
        <w:rPr>
          <w:rFonts w:ascii="Palatino Linotype" w:hAnsi="Palatino Linotype" w:cs="Arial"/>
        </w:rPr>
        <w:lastRenderedPageBreak/>
        <w:t xml:space="preserve">referido por el particular </w:t>
      </w:r>
      <w:r w:rsidR="000D1151">
        <w:rPr>
          <w:rFonts w:ascii="Palatino Linotype" w:hAnsi="Palatino Linotype" w:cs="Arial"/>
        </w:rPr>
        <w:t xml:space="preserve">y en versión pública, </w:t>
      </w:r>
      <w:r w:rsidR="00F34E3D">
        <w:rPr>
          <w:rFonts w:ascii="Palatino Linotype" w:hAnsi="Palatino Linotype" w:cs="Arial"/>
        </w:rPr>
        <w:t>l</w:t>
      </w:r>
      <w:r w:rsidR="00F34E3D" w:rsidRPr="00F34E3D">
        <w:rPr>
          <w:rFonts w:ascii="Palatino Linotype" w:hAnsi="Palatino Linotype" w:cs="Arial"/>
        </w:rPr>
        <w:t xml:space="preserve">as grabaciones de las entrevistas realizadas a los aspirantes a vocales de las 125 juntas municipales </w:t>
      </w:r>
      <w:r w:rsidR="00C026C0">
        <w:rPr>
          <w:rFonts w:ascii="Palatino Linotype" w:hAnsi="Palatino Linotype" w:cs="Arial"/>
        </w:rPr>
        <w:t>y</w:t>
      </w:r>
      <w:r w:rsidR="00F34E3D" w:rsidRPr="00F34E3D">
        <w:rPr>
          <w:rFonts w:ascii="Palatino Linotype" w:hAnsi="Palatino Linotype" w:cs="Arial"/>
        </w:rPr>
        <w:t xml:space="preserve"> de las 45 juntas distritales del proceso electoral 2017-2018.</w:t>
      </w:r>
    </w:p>
    <w:p w:rsidR="00F34E3D" w:rsidRDefault="00F34E3D" w:rsidP="00F34E3D">
      <w:pPr>
        <w:spacing w:line="360" w:lineRule="auto"/>
        <w:ind w:right="49"/>
        <w:jc w:val="both"/>
        <w:rPr>
          <w:rFonts w:ascii="Palatino Linotype" w:hAnsi="Palatino Linotype" w:cs="Arial"/>
          <w:lang w:val="es-MX"/>
        </w:rPr>
      </w:pPr>
    </w:p>
    <w:p w:rsidR="00782E9A" w:rsidRDefault="000A7F22" w:rsidP="004A2D78">
      <w:pPr>
        <w:spacing w:line="360" w:lineRule="auto"/>
        <w:ind w:right="49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</w:t>
      </w:r>
      <w:r w:rsidR="00DC5C4E" w:rsidRPr="00C8035B">
        <w:rPr>
          <w:rFonts w:ascii="Palatino Linotype" w:hAnsi="Palatino Linotype" w:cs="Arial"/>
          <w:lang w:val="es-MX"/>
        </w:rPr>
        <w:t xml:space="preserve">n ese sentido, la que suscribe reitera, que si bien coincide en términos generales con el estudio de la resolución en comento, difiero respecto </w:t>
      </w:r>
      <w:r w:rsidR="00DC566E">
        <w:rPr>
          <w:rFonts w:ascii="Palatino Linotype" w:hAnsi="Palatino Linotype" w:cs="Arial"/>
          <w:lang w:val="es-MX"/>
        </w:rPr>
        <w:t xml:space="preserve">a </w:t>
      </w:r>
      <w:r w:rsidR="00782E9A">
        <w:rPr>
          <w:rFonts w:ascii="Palatino Linotype" w:hAnsi="Palatino Linotype" w:cs="Arial"/>
          <w:lang w:val="es-MX"/>
        </w:rPr>
        <w:t xml:space="preserve">la información que se ordena </w:t>
      </w:r>
      <w:r w:rsidR="00A37BF2">
        <w:rPr>
          <w:rFonts w:ascii="Palatino Linotype" w:hAnsi="Palatino Linotype" w:cs="Arial"/>
          <w:lang w:val="es-MX"/>
        </w:rPr>
        <w:t xml:space="preserve">concerniente a los </w:t>
      </w:r>
      <w:r w:rsidR="00A37BF2" w:rsidRPr="00A37BF2">
        <w:rPr>
          <w:rFonts w:ascii="Palatino Linotype" w:hAnsi="Palatino Linotype" w:cs="Arial"/>
          <w:lang w:val="es-MX"/>
        </w:rPr>
        <w:t>aspirantes que no fueron seleccionad</w:t>
      </w:r>
      <w:r w:rsidR="00A37BF2">
        <w:rPr>
          <w:rFonts w:ascii="Palatino Linotype" w:hAnsi="Palatino Linotype" w:cs="Arial"/>
          <w:lang w:val="es-MX"/>
        </w:rPr>
        <w:t>o</w:t>
      </w:r>
      <w:r w:rsidR="00A37BF2" w:rsidRPr="00A37BF2">
        <w:rPr>
          <w:rFonts w:ascii="Palatino Linotype" w:hAnsi="Palatino Linotype" w:cs="Arial"/>
          <w:lang w:val="es-MX"/>
        </w:rPr>
        <w:t xml:space="preserve">s, </w:t>
      </w:r>
      <w:r w:rsidR="00A37BF2">
        <w:rPr>
          <w:rFonts w:ascii="Palatino Linotype" w:hAnsi="Palatino Linotype" w:cs="Arial"/>
          <w:lang w:val="es-MX"/>
        </w:rPr>
        <w:t xml:space="preserve">en virtud de que </w:t>
      </w:r>
      <w:r w:rsidR="00A37BF2" w:rsidRPr="00A37BF2">
        <w:rPr>
          <w:rFonts w:ascii="Palatino Linotype" w:hAnsi="Palatino Linotype" w:cs="Arial"/>
          <w:lang w:val="es-MX"/>
        </w:rPr>
        <w:t>se sometieron a la contienda bajo el principio de finalidad y no hay consentimiento expreso de que se hicieran públicas las entrevistas e información concerniente a la convocatoria (exam</w:t>
      </w:r>
      <w:r w:rsidR="00C026C0">
        <w:rPr>
          <w:rFonts w:ascii="Palatino Linotype" w:hAnsi="Palatino Linotype" w:cs="Arial"/>
          <w:lang w:val="es-MX"/>
        </w:rPr>
        <w:t>enes</w:t>
      </w:r>
      <w:r w:rsidR="00A37BF2" w:rsidRPr="00A37BF2">
        <w:rPr>
          <w:rFonts w:ascii="Palatino Linotype" w:hAnsi="Palatino Linotype" w:cs="Arial"/>
          <w:lang w:val="es-MX"/>
        </w:rPr>
        <w:t xml:space="preserve"> y demás etapas</w:t>
      </w:r>
      <w:r w:rsidR="00782E9A">
        <w:rPr>
          <w:rFonts w:ascii="Palatino Linotype" w:hAnsi="Palatino Linotype" w:cs="Arial"/>
          <w:lang w:val="es-MX"/>
        </w:rPr>
        <w:t>)</w:t>
      </w:r>
      <w:r w:rsidR="00A37BF2">
        <w:rPr>
          <w:rFonts w:ascii="Palatino Linotype" w:hAnsi="Palatino Linotype" w:cs="Arial"/>
          <w:lang w:val="es-MX"/>
        </w:rPr>
        <w:t>.</w:t>
      </w:r>
    </w:p>
    <w:p w:rsidR="00DC566E" w:rsidRDefault="00DC566E" w:rsidP="004A2D78">
      <w:pPr>
        <w:spacing w:line="360" w:lineRule="auto"/>
        <w:ind w:right="49"/>
        <w:jc w:val="both"/>
        <w:rPr>
          <w:rFonts w:ascii="Palatino Linotype" w:hAnsi="Palatino Linotype" w:cs="Arial"/>
          <w:lang w:val="es-MX"/>
        </w:rPr>
      </w:pPr>
    </w:p>
    <w:p w:rsidR="00A37BF2" w:rsidRPr="00A37BF2" w:rsidRDefault="00DC566E" w:rsidP="00A37BF2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t>Lo anterior</w:t>
      </w:r>
      <w:r w:rsidR="00C026C0">
        <w:rPr>
          <w:rFonts w:ascii="Palatino Linotype" w:eastAsia="Calibri" w:hAnsi="Palatino Linotype" w:cs="Arial"/>
        </w:rPr>
        <w:t>,</w:t>
      </w:r>
      <w:r>
        <w:rPr>
          <w:rFonts w:ascii="Palatino Linotype" w:eastAsia="Calibri" w:hAnsi="Palatino Linotype" w:cs="Arial"/>
        </w:rPr>
        <w:t xml:space="preserve"> obedece a que </w:t>
      </w:r>
      <w:r w:rsidR="00A37BF2">
        <w:rPr>
          <w:rFonts w:ascii="Palatino Linotype" w:eastAsia="Calibri" w:hAnsi="Palatino Linotype" w:cs="Arial"/>
        </w:rPr>
        <w:t>d</w:t>
      </w:r>
      <w:r w:rsidR="00A37BF2" w:rsidRPr="00A37BF2">
        <w:rPr>
          <w:rFonts w:ascii="Palatino Linotype" w:eastAsia="Calibri" w:hAnsi="Palatino Linotype" w:cs="Arial"/>
        </w:rPr>
        <w:t>e la revisión a la “Convocatoria para quienes aspiran a ocupar un cargo de Vocal en las Juntas Distritales y Municipales del proceso electoral 2017-2018” se advierte en su</w:t>
      </w:r>
      <w:r w:rsidR="00C026C0">
        <w:rPr>
          <w:rFonts w:ascii="Palatino Linotype" w:eastAsia="Calibri" w:hAnsi="Palatino Linotype" w:cs="Arial"/>
        </w:rPr>
        <w:t>s b</w:t>
      </w:r>
      <w:r w:rsidR="00A37BF2" w:rsidRPr="00A37BF2">
        <w:rPr>
          <w:rFonts w:ascii="Palatino Linotype" w:eastAsia="Calibri" w:hAnsi="Palatino Linotype" w:cs="Arial"/>
        </w:rPr>
        <w:t>ase</w:t>
      </w:r>
      <w:r w:rsidR="00C026C0">
        <w:rPr>
          <w:rFonts w:ascii="Palatino Linotype" w:eastAsia="Calibri" w:hAnsi="Palatino Linotype" w:cs="Arial"/>
        </w:rPr>
        <w:t>s</w:t>
      </w:r>
      <w:r w:rsidR="00A37BF2" w:rsidRPr="00A37BF2">
        <w:rPr>
          <w:rFonts w:ascii="Palatino Linotype" w:eastAsia="Calibri" w:hAnsi="Palatino Linotype" w:cs="Arial"/>
        </w:rPr>
        <w:t xml:space="preserve"> sexta y décima</w:t>
      </w:r>
      <w:r w:rsidR="00C026C0">
        <w:rPr>
          <w:rFonts w:ascii="Palatino Linotype" w:eastAsia="Calibri" w:hAnsi="Palatino Linotype" w:cs="Arial"/>
        </w:rPr>
        <w:t>s</w:t>
      </w:r>
      <w:r w:rsidR="00A37BF2" w:rsidRPr="00A37BF2">
        <w:rPr>
          <w:rFonts w:ascii="Palatino Linotype" w:eastAsia="Calibri" w:hAnsi="Palatino Linotype" w:cs="Arial"/>
        </w:rPr>
        <w:t xml:space="preserve"> lo siguiente: </w:t>
      </w:r>
    </w:p>
    <w:p w:rsidR="00A37BF2" w:rsidRPr="00A37BF2" w:rsidRDefault="00A37BF2" w:rsidP="00A37BF2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b/>
          <w:i/>
          <w:sz w:val="22"/>
        </w:rPr>
      </w:pPr>
      <w:r w:rsidRPr="00A37BF2">
        <w:rPr>
          <w:rFonts w:ascii="Palatino Linotype" w:eastAsia="Calibri" w:hAnsi="Palatino Linotype" w:cs="Arial"/>
          <w:b/>
          <w:i/>
          <w:sz w:val="22"/>
        </w:rPr>
        <w:t xml:space="preserve">Sexta. De la protección de datos personales </w:t>
      </w: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A37BF2">
        <w:rPr>
          <w:rFonts w:ascii="Palatino Linotype" w:eastAsia="Calibri" w:hAnsi="Palatino Linotype" w:cs="Arial"/>
          <w:i/>
          <w:sz w:val="22"/>
        </w:rPr>
        <w:t xml:space="preserve">Para proteger los datos personales de los solicitantes, se acatará lo establecido en la Ley General de Transparencia y Acceso a la Información Pública, la Ley de Transparencia y Acceso a la Información Pública del Estado de México y Municipios, la Ley General de Protección de Datos Personales en Posesión de Sujetos Obligados y la Ley de Protección de Datos Personales del Estado de México. </w:t>
      </w:r>
      <w:r w:rsidRPr="00A37BF2">
        <w:rPr>
          <w:rFonts w:ascii="Palatino Linotype" w:eastAsia="Calibri" w:hAnsi="Palatino Linotype" w:cs="Arial"/>
          <w:b/>
          <w:i/>
          <w:sz w:val="22"/>
        </w:rPr>
        <w:t>Los datos personales serán objeto de tratamiento confidencial y únicamente serán utilizados con la finalidad para la cual fueron recabados; en ningún momento podrán ser transferidos a terceros.</w:t>
      </w:r>
      <w:r w:rsidRPr="00A37BF2">
        <w:rPr>
          <w:rFonts w:ascii="Palatino Linotype" w:eastAsia="Calibri" w:hAnsi="Palatino Linotype" w:cs="Arial"/>
          <w:i/>
          <w:sz w:val="22"/>
        </w:rPr>
        <w:t xml:space="preserve"> </w:t>
      </w: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A37BF2">
        <w:rPr>
          <w:rFonts w:ascii="Palatino Linotype" w:eastAsia="Calibri" w:hAnsi="Palatino Linotype" w:cs="Arial"/>
          <w:i/>
          <w:sz w:val="22"/>
        </w:rPr>
        <w:t xml:space="preserve">Los datos serán tratados de acuerdo con las características que requieran los procedimientos. El aviso de privacidad, publicado en la página electrónica </w:t>
      </w:r>
      <w:r w:rsidRPr="00A37BF2">
        <w:rPr>
          <w:rFonts w:ascii="Palatino Linotype" w:eastAsia="Calibri" w:hAnsi="Palatino Linotype" w:cs="Arial"/>
          <w:i/>
          <w:sz w:val="22"/>
        </w:rPr>
        <w:lastRenderedPageBreak/>
        <w:t xml:space="preserve">(www.ieem.org.mx) del Instituto, les dará a conocer a quienes aspiren a un puesto de vocal la forma de ejercer sus derechos de acceso, rectificación, cancelación y oposición. </w:t>
      </w: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b/>
          <w:i/>
          <w:sz w:val="22"/>
        </w:rPr>
      </w:pPr>
      <w:r w:rsidRPr="00A37BF2">
        <w:rPr>
          <w:rFonts w:ascii="Palatino Linotype" w:eastAsia="Calibri" w:hAnsi="Palatino Linotype" w:cs="Arial"/>
          <w:b/>
          <w:i/>
          <w:sz w:val="22"/>
        </w:rPr>
        <w:t xml:space="preserve">Décima. De la entrevista </w:t>
      </w: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A37BF2">
        <w:rPr>
          <w:rFonts w:ascii="Palatino Linotype" w:eastAsia="Calibri" w:hAnsi="Palatino Linotype" w:cs="Arial"/>
          <w:i/>
          <w:sz w:val="22"/>
        </w:rPr>
        <w:t xml:space="preserve">La entrevista a la que será sometido cada aspirante, denominada “Entrevista en Panel por Competencias”, es una herramienta de carácter técnico que permitirá encontrar evidencias específicas de sus competencias para su desempeño como vocales y de los criterios orientadores enunciados en el Reglamento de Elecciones. </w:t>
      </w: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A37BF2">
        <w:rPr>
          <w:rFonts w:ascii="Palatino Linotype" w:eastAsia="Calibri" w:hAnsi="Palatino Linotype" w:cs="Arial"/>
          <w:i/>
          <w:sz w:val="22"/>
        </w:rPr>
        <w:t xml:space="preserve">La entrevista se aplicará a los seis aspirantes, tres mujeres y tres hombres, que cumplan, hasta ese momento, con todos los requisitos establecidos en la Convocatoria y hayan obtenido las calificaciones más altas del examen de conocimientos electorales de su distrito o municipio (incluyendo aquellos casos en los que se presenten empates). Esta actividad se llevará a cabo en las instalaciones del Instituto el viernes 22 y del lunes 25 al viernes 29 de septiembre de 2017, en las mismas fechas que la evaluación psicométrica. </w:t>
      </w: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A37BF2">
        <w:rPr>
          <w:rFonts w:ascii="Palatino Linotype" w:eastAsia="Calibri" w:hAnsi="Palatino Linotype" w:cs="Arial"/>
          <w:i/>
          <w:sz w:val="22"/>
        </w:rPr>
        <w:t xml:space="preserve">Para llevar a cabo esta actividad, se integrarán equipos de entrevistadoras y entrevistadores, encabezados por las consejeras y los consejeros electorales del Consejo General, así como por los integrantes de la Junta General y las jefas y los jefes de unidad del Instituto. </w:t>
      </w: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A37BF2" w:rsidRPr="00A37BF2" w:rsidRDefault="00A37BF2" w:rsidP="00A37BF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A37BF2">
        <w:rPr>
          <w:rFonts w:ascii="Palatino Linotype" w:eastAsia="Calibri" w:hAnsi="Palatino Linotype" w:cs="Arial"/>
          <w:i/>
          <w:sz w:val="22"/>
        </w:rPr>
        <w:t xml:space="preserve">La inasistencia o la presentación en un horario distinto al programado, aun cuando sea en la misma fecha de aplicación, por causas imputables a quien aspire a ocupar un cargo de vocal, será causa de descalificación y quedará eliminado/a del concurso, con excepción de las y los aspirantes a quienes se les haya reprogramado la evaluación psicométrica por causas técnicas imputables al Instituto (software, hardware, falla eléctrica). </w:t>
      </w:r>
    </w:p>
    <w:p w:rsidR="00A37BF2" w:rsidRPr="00A37BF2" w:rsidRDefault="00A37BF2" w:rsidP="00A37BF2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</w:p>
    <w:p w:rsidR="00A37BF2" w:rsidRPr="00A37BF2" w:rsidRDefault="00A37BF2" w:rsidP="00A37BF2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  <w:r w:rsidRPr="00A37BF2">
        <w:rPr>
          <w:rFonts w:ascii="Palatino Linotype" w:eastAsia="Calibri" w:hAnsi="Palatino Linotype" w:cs="Arial"/>
        </w:rPr>
        <w:t xml:space="preserve">Así, se advierte que la etapa de entrevista estaba contemplada dentro de la convocatoria emitida por </w:t>
      </w:r>
      <w:r w:rsidRPr="00A37BF2">
        <w:rPr>
          <w:rFonts w:ascii="Palatino Linotype" w:eastAsia="Calibri" w:hAnsi="Palatino Linotype" w:cs="Arial"/>
          <w:b/>
        </w:rPr>
        <w:t>EL SUJETO OBLIGADO</w:t>
      </w:r>
      <w:r w:rsidRPr="00A37BF2">
        <w:rPr>
          <w:rFonts w:ascii="Palatino Linotype" w:eastAsia="Calibri" w:hAnsi="Palatino Linotype" w:cs="Arial"/>
        </w:rPr>
        <w:t xml:space="preserve">, misma que prevé el principio de finalidad que enmarca la Ley de Protección de Datos en Posesión de Sujetos Obligados del Estado de México y Municipios. </w:t>
      </w:r>
    </w:p>
    <w:p w:rsidR="00A37BF2" w:rsidRPr="00A37BF2" w:rsidRDefault="00A37BF2" w:rsidP="00A37BF2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</w:p>
    <w:p w:rsidR="00C026C0" w:rsidRDefault="00A37BF2" w:rsidP="00A37BF2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lastRenderedPageBreak/>
        <w:t>Por ello, resulta procedente</w:t>
      </w:r>
      <w:r w:rsidRPr="00A37BF2">
        <w:rPr>
          <w:rFonts w:ascii="Palatino Linotype" w:eastAsia="Calibri" w:hAnsi="Palatino Linotype" w:cs="Arial"/>
        </w:rPr>
        <w:t xml:space="preserve"> entregar las entrevistas de las personas que fueron designadas como Vocales ya sea en las Juntas distritales y municipales</w:t>
      </w:r>
      <w:r w:rsidR="00C026C0">
        <w:rPr>
          <w:rFonts w:ascii="Palatino Linotype" w:eastAsia="Calibri" w:hAnsi="Palatino Linotype" w:cs="Arial"/>
        </w:rPr>
        <w:t>, pues</w:t>
      </w:r>
      <w:r w:rsidRPr="00A37BF2">
        <w:rPr>
          <w:rFonts w:ascii="Palatino Linotype" w:eastAsia="Calibri" w:hAnsi="Palatino Linotype" w:cs="Arial"/>
        </w:rPr>
        <w:t xml:space="preserve"> de forma temporal </w:t>
      </w:r>
      <w:r w:rsidR="00C026C0">
        <w:rPr>
          <w:rFonts w:ascii="Palatino Linotype" w:eastAsia="Calibri" w:hAnsi="Palatino Linotype" w:cs="Arial"/>
        </w:rPr>
        <w:t>recibieron</w:t>
      </w:r>
      <w:r w:rsidRPr="00A37BF2">
        <w:rPr>
          <w:rFonts w:ascii="Palatino Linotype" w:eastAsia="Calibri" w:hAnsi="Palatino Linotype" w:cs="Arial"/>
        </w:rPr>
        <w:t xml:space="preserve"> recurso</w:t>
      </w:r>
      <w:r w:rsidR="00C026C0">
        <w:rPr>
          <w:rFonts w:ascii="Palatino Linotype" w:eastAsia="Calibri" w:hAnsi="Palatino Linotype" w:cs="Arial"/>
        </w:rPr>
        <w:t>s públicos, por lo que se debe</w:t>
      </w:r>
      <w:r w:rsidRPr="00A37BF2">
        <w:rPr>
          <w:rFonts w:ascii="Palatino Linotype" w:eastAsia="Calibri" w:hAnsi="Palatino Linotype" w:cs="Arial"/>
        </w:rPr>
        <w:t xml:space="preserve"> trasparentar su actuar.</w:t>
      </w:r>
    </w:p>
    <w:p w:rsidR="00E15CE2" w:rsidRDefault="00E15CE2" w:rsidP="00A37BF2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</w:p>
    <w:p w:rsidR="00CB63A8" w:rsidRDefault="00A37BF2" w:rsidP="00DC566E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t>No así</w:t>
      </w:r>
      <w:r w:rsidR="00C026C0">
        <w:rPr>
          <w:rFonts w:ascii="Palatino Linotype" w:eastAsia="Calibri" w:hAnsi="Palatino Linotype" w:cs="Arial"/>
        </w:rPr>
        <w:t>,</w:t>
      </w:r>
      <w:r>
        <w:rPr>
          <w:rFonts w:ascii="Palatino Linotype" w:eastAsia="Calibri" w:hAnsi="Palatino Linotype" w:cs="Arial"/>
        </w:rPr>
        <w:t xml:space="preserve"> de las personas que no fueron seleccionadas como vocales, pues aunado a</w:t>
      </w:r>
      <w:r w:rsidR="00826D09">
        <w:rPr>
          <w:rFonts w:ascii="Palatino Linotype" w:eastAsia="Calibri" w:hAnsi="Palatino Linotype" w:cs="Arial"/>
        </w:rPr>
        <w:t xml:space="preserve"> </w:t>
      </w:r>
      <w:r>
        <w:rPr>
          <w:rFonts w:ascii="Palatino Linotype" w:eastAsia="Calibri" w:hAnsi="Palatino Linotype" w:cs="Arial"/>
        </w:rPr>
        <w:t>lo expuesto en párrafos anteriores, es menester puntualizar</w:t>
      </w:r>
      <w:r w:rsidR="00CB63A8">
        <w:rPr>
          <w:rFonts w:ascii="Palatino Linotype" w:eastAsia="Calibri" w:hAnsi="Palatino Linotype" w:cs="Arial"/>
        </w:rPr>
        <w:t xml:space="preserve"> que conforme al artículo 23 de la Ley de Transparencia y Acceso a la Información Pública, los Sujetos Obligados son los siguientes:</w:t>
      </w:r>
    </w:p>
    <w:p w:rsidR="00CB63A8" w:rsidRDefault="00CB63A8" w:rsidP="00DC566E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A37BF2">
        <w:rPr>
          <w:rFonts w:ascii="Palatino Linotype" w:eastAsia="Calibri" w:hAnsi="Palatino Linotype" w:cs="Arial"/>
          <w:b/>
          <w:i/>
          <w:sz w:val="22"/>
        </w:rPr>
        <w:t>Artículo 23</w:t>
      </w:r>
      <w:r w:rsidRPr="00CB63A8">
        <w:rPr>
          <w:rFonts w:ascii="Palatino Linotype" w:eastAsia="Calibri" w:hAnsi="Palatino Linotype" w:cs="Arial"/>
          <w:i/>
          <w:sz w:val="22"/>
        </w:rPr>
        <w:t>. Son sujetos obligados a transparentar y permitir el acceso a su información y proteger los datos personales que</w:t>
      </w:r>
      <w:r>
        <w:rPr>
          <w:rFonts w:ascii="Palatino Linotype" w:eastAsia="Calibri" w:hAnsi="Palatino Linotype" w:cs="Arial"/>
          <w:i/>
          <w:sz w:val="22"/>
        </w:rPr>
        <w:t xml:space="preserve"> </w:t>
      </w:r>
      <w:r w:rsidRPr="00CB63A8">
        <w:rPr>
          <w:rFonts w:ascii="Palatino Linotype" w:eastAsia="Calibri" w:hAnsi="Palatino Linotype" w:cs="Arial"/>
          <w:i/>
          <w:sz w:val="22"/>
        </w:rPr>
        <w:t>obren en su poder:</w:t>
      </w:r>
    </w:p>
    <w:p w:rsid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I</w:t>
      </w:r>
      <w:r w:rsidRPr="00CB63A8">
        <w:rPr>
          <w:rFonts w:ascii="Palatino Linotype" w:eastAsia="Calibri" w:hAnsi="Palatino Linotype" w:cs="Arial"/>
          <w:i/>
          <w:sz w:val="22"/>
        </w:rPr>
        <w:t>. El Poder Ejecutivo del Estado de México, las dependencias, organismos auxiliares, órganos, entidades, fideicomisos y</w:t>
      </w:r>
      <w:r>
        <w:rPr>
          <w:rFonts w:ascii="Palatino Linotype" w:eastAsia="Calibri" w:hAnsi="Palatino Linotype" w:cs="Arial"/>
          <w:i/>
          <w:sz w:val="22"/>
        </w:rPr>
        <w:t xml:space="preserve"> </w:t>
      </w:r>
      <w:r w:rsidRPr="00CB63A8">
        <w:rPr>
          <w:rFonts w:ascii="Palatino Linotype" w:eastAsia="Calibri" w:hAnsi="Palatino Linotype" w:cs="Arial"/>
          <w:i/>
          <w:sz w:val="22"/>
        </w:rPr>
        <w:t>fondos públicos, así como la Procuraduría General de Justicia;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II</w:t>
      </w:r>
      <w:r w:rsidRPr="00CB63A8">
        <w:rPr>
          <w:rFonts w:ascii="Palatino Linotype" w:eastAsia="Calibri" w:hAnsi="Palatino Linotype" w:cs="Arial"/>
          <w:i/>
          <w:sz w:val="22"/>
        </w:rPr>
        <w:t>. El Poder Legislativo del Estado, los organismos, órganos y entidades de la Legislatura y sus dependencias;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III</w:t>
      </w:r>
      <w:r w:rsidRPr="00CB63A8">
        <w:rPr>
          <w:rFonts w:ascii="Palatino Linotype" w:eastAsia="Calibri" w:hAnsi="Palatino Linotype" w:cs="Arial"/>
          <w:i/>
          <w:sz w:val="22"/>
        </w:rPr>
        <w:t>. El Poder Judicial, sus organismos, órganos y entidades, así como el Consejo de la Judicatura del Estado;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IV</w:t>
      </w:r>
      <w:r w:rsidRPr="00CB63A8">
        <w:rPr>
          <w:rFonts w:ascii="Palatino Linotype" w:eastAsia="Calibri" w:hAnsi="Palatino Linotype" w:cs="Arial"/>
          <w:i/>
          <w:sz w:val="22"/>
        </w:rPr>
        <w:t>. Los ayuntamientos y las dependencias, organismos, órganos y entidades de la administración municipal;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V</w:t>
      </w:r>
      <w:r w:rsidRPr="00CB63A8">
        <w:rPr>
          <w:rFonts w:ascii="Palatino Linotype" w:eastAsia="Calibri" w:hAnsi="Palatino Linotype" w:cs="Arial"/>
          <w:i/>
          <w:sz w:val="22"/>
        </w:rPr>
        <w:t>. Los órganos autónomos;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VI</w:t>
      </w:r>
      <w:r w:rsidRPr="00CB63A8">
        <w:rPr>
          <w:rFonts w:ascii="Palatino Linotype" w:eastAsia="Calibri" w:hAnsi="Palatino Linotype" w:cs="Arial"/>
          <w:i/>
          <w:sz w:val="22"/>
        </w:rPr>
        <w:t>. Los tribunales administrativos y autoridades jurisdiccionales en materia laboral;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VII</w:t>
      </w:r>
      <w:r w:rsidRPr="00CB63A8">
        <w:rPr>
          <w:rFonts w:ascii="Palatino Linotype" w:eastAsia="Calibri" w:hAnsi="Palatino Linotype" w:cs="Arial"/>
          <w:i/>
          <w:sz w:val="22"/>
        </w:rPr>
        <w:t>. Los partidos políticos y agrupaciones políticas, en lo</w:t>
      </w:r>
      <w:r>
        <w:rPr>
          <w:rFonts w:ascii="Palatino Linotype" w:eastAsia="Calibri" w:hAnsi="Palatino Linotype" w:cs="Arial"/>
          <w:i/>
          <w:sz w:val="22"/>
        </w:rPr>
        <w:t xml:space="preserve">s términos de las disposiciones </w:t>
      </w:r>
      <w:r w:rsidRPr="00CB63A8">
        <w:rPr>
          <w:rFonts w:ascii="Palatino Linotype" w:eastAsia="Calibri" w:hAnsi="Palatino Linotype" w:cs="Arial"/>
          <w:i/>
          <w:sz w:val="22"/>
        </w:rPr>
        <w:t>aplicables;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VIII</w:t>
      </w:r>
      <w:r w:rsidRPr="00CB63A8">
        <w:rPr>
          <w:rFonts w:ascii="Palatino Linotype" w:eastAsia="Calibri" w:hAnsi="Palatino Linotype" w:cs="Arial"/>
          <w:i/>
          <w:sz w:val="22"/>
        </w:rPr>
        <w:t>. Los fideicomisos y fondos públicos que cuenten con financiamiento público, parcial o total, o con participación de</w:t>
      </w:r>
      <w:r>
        <w:rPr>
          <w:rFonts w:ascii="Palatino Linotype" w:eastAsia="Calibri" w:hAnsi="Palatino Linotype" w:cs="Arial"/>
          <w:i/>
          <w:sz w:val="22"/>
        </w:rPr>
        <w:t xml:space="preserve"> </w:t>
      </w:r>
      <w:r w:rsidRPr="00CB63A8">
        <w:rPr>
          <w:rFonts w:ascii="Palatino Linotype" w:eastAsia="Calibri" w:hAnsi="Palatino Linotype" w:cs="Arial"/>
          <w:i/>
          <w:sz w:val="22"/>
        </w:rPr>
        <w:t>entidades de gobierno;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IX</w:t>
      </w:r>
      <w:r w:rsidRPr="00CB63A8">
        <w:rPr>
          <w:rFonts w:ascii="Palatino Linotype" w:eastAsia="Calibri" w:hAnsi="Palatino Linotype" w:cs="Arial"/>
          <w:i/>
          <w:sz w:val="22"/>
        </w:rPr>
        <w:t>. Los sindicatos que reciban y/o ejerzan recursos públicos en el ámbito estatal y municipal;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lastRenderedPageBreak/>
        <w:t>X</w:t>
      </w:r>
      <w:r w:rsidRPr="00CB63A8">
        <w:rPr>
          <w:rFonts w:ascii="Palatino Linotype" w:eastAsia="Calibri" w:hAnsi="Palatino Linotype" w:cs="Arial"/>
          <w:i/>
          <w:sz w:val="22"/>
        </w:rPr>
        <w:t>. Cualquier persona física o jurídico colectiva que reciba y ejerza recursos públicos en el ámbito estatal o municipal; y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2B7268">
        <w:rPr>
          <w:rFonts w:ascii="Palatino Linotype" w:eastAsia="Calibri" w:hAnsi="Palatino Linotype" w:cs="Arial"/>
          <w:b/>
          <w:i/>
          <w:sz w:val="22"/>
        </w:rPr>
        <w:t>XI</w:t>
      </w:r>
      <w:r w:rsidRPr="00CB63A8">
        <w:rPr>
          <w:rFonts w:ascii="Palatino Linotype" w:eastAsia="Calibri" w:hAnsi="Palatino Linotype" w:cs="Arial"/>
          <w:i/>
          <w:sz w:val="22"/>
        </w:rPr>
        <w:t>. Cualquier otra autoridad, entidad, órgano u organismo de los poderes estatal o municipal, que reciba recursos públicos.</w:t>
      </w:r>
    </w:p>
    <w:p w:rsid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CB63A8">
        <w:rPr>
          <w:rFonts w:ascii="Palatino Linotype" w:eastAsia="Calibri" w:hAnsi="Palatino Linotype" w:cs="Arial"/>
          <w:i/>
          <w:sz w:val="22"/>
        </w:rPr>
        <w:t>Los sujetos obligados deberán hacer pública toda aquella información relativa a los montos y las personas a quienes</w:t>
      </w:r>
      <w:r>
        <w:rPr>
          <w:rFonts w:ascii="Palatino Linotype" w:eastAsia="Calibri" w:hAnsi="Palatino Linotype" w:cs="Arial"/>
          <w:i/>
          <w:sz w:val="22"/>
        </w:rPr>
        <w:t xml:space="preserve"> </w:t>
      </w:r>
      <w:r w:rsidRPr="00CB63A8">
        <w:rPr>
          <w:rFonts w:ascii="Palatino Linotype" w:eastAsia="Calibri" w:hAnsi="Palatino Linotype" w:cs="Arial"/>
          <w:i/>
          <w:sz w:val="22"/>
        </w:rPr>
        <w:t>entreguen, por cualquier motivo, recursos públicos, así como los informes que dichas personas les entreguen sobre el uso y</w:t>
      </w:r>
      <w:r>
        <w:rPr>
          <w:rFonts w:ascii="Palatino Linotype" w:eastAsia="Calibri" w:hAnsi="Palatino Linotype" w:cs="Arial"/>
          <w:i/>
          <w:sz w:val="22"/>
        </w:rPr>
        <w:t xml:space="preserve"> </w:t>
      </w:r>
      <w:r w:rsidRPr="00CB63A8">
        <w:rPr>
          <w:rFonts w:ascii="Palatino Linotype" w:eastAsia="Calibri" w:hAnsi="Palatino Linotype" w:cs="Arial"/>
          <w:i/>
          <w:sz w:val="22"/>
        </w:rPr>
        <w:t>destino de dichos recursos.</w:t>
      </w: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CB63A8" w:rsidRPr="00CB63A8" w:rsidRDefault="00CB63A8" w:rsidP="00CB63A8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CB63A8">
        <w:rPr>
          <w:rFonts w:ascii="Palatino Linotype" w:eastAsia="Calibri" w:hAnsi="Palatino Linotype" w:cs="Arial"/>
          <w:i/>
          <w:sz w:val="22"/>
        </w:rPr>
        <w:t xml:space="preserve">Los servidores públicos deberán transparentar sus acciones así como garantizar y </w:t>
      </w:r>
      <w:r>
        <w:rPr>
          <w:rFonts w:ascii="Palatino Linotype" w:eastAsia="Calibri" w:hAnsi="Palatino Linotype" w:cs="Arial"/>
          <w:i/>
          <w:sz w:val="22"/>
        </w:rPr>
        <w:t xml:space="preserve"> </w:t>
      </w:r>
      <w:r w:rsidRPr="00CB63A8">
        <w:rPr>
          <w:rFonts w:ascii="Palatino Linotype" w:eastAsia="Calibri" w:hAnsi="Palatino Linotype" w:cs="Arial"/>
          <w:i/>
          <w:sz w:val="22"/>
        </w:rPr>
        <w:t>respetar el derecho de acceso a la</w:t>
      </w:r>
      <w:r>
        <w:rPr>
          <w:rFonts w:ascii="Palatino Linotype" w:eastAsia="Calibri" w:hAnsi="Palatino Linotype" w:cs="Arial"/>
          <w:i/>
          <w:sz w:val="22"/>
        </w:rPr>
        <w:t xml:space="preserve"> </w:t>
      </w:r>
      <w:r w:rsidRPr="00CB63A8">
        <w:rPr>
          <w:rFonts w:ascii="Palatino Linotype" w:eastAsia="Calibri" w:hAnsi="Palatino Linotype" w:cs="Arial"/>
          <w:i/>
          <w:sz w:val="22"/>
        </w:rPr>
        <w:t>información pública.</w:t>
      </w:r>
    </w:p>
    <w:p w:rsidR="00682AA1" w:rsidRDefault="00682AA1" w:rsidP="004A2D78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4D1499" w:rsidRPr="008E33B0" w:rsidRDefault="00CB63A8" w:rsidP="00F34E3D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este sentido, </w:t>
      </w:r>
      <w:r w:rsidR="00A37BF2">
        <w:rPr>
          <w:rFonts w:ascii="Palatino Linotype" w:hAnsi="Palatino Linotype" w:cs="Arial"/>
        </w:rPr>
        <w:t>los aspirantes no seleccionados</w:t>
      </w:r>
      <w:r>
        <w:rPr>
          <w:rFonts w:ascii="Palatino Linotype" w:hAnsi="Palatino Linotype" w:cs="Arial"/>
        </w:rPr>
        <w:t>, no corresponde</w:t>
      </w:r>
      <w:r w:rsidR="00A37BF2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ni encuadra</w:t>
      </w:r>
      <w:r w:rsidR="00A37BF2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en alguno de los supuestos anteriormente enlistados, por lo tanto no se encuentra</w:t>
      </w:r>
      <w:r w:rsidR="00A37BF2">
        <w:rPr>
          <w:rFonts w:ascii="Palatino Linotype" w:hAnsi="Palatino Linotype" w:cs="Arial"/>
        </w:rPr>
        <w:t>n</w:t>
      </w:r>
      <w:r w:rsidR="00C026C0">
        <w:rPr>
          <w:rFonts w:ascii="Palatino Linotype" w:hAnsi="Palatino Linotype" w:cs="Arial"/>
        </w:rPr>
        <w:t xml:space="preserve"> obligados</w:t>
      </w:r>
      <w:r w:rsidR="00A37BF2">
        <w:rPr>
          <w:rFonts w:ascii="Palatino Linotype" w:hAnsi="Palatino Linotype" w:cs="Arial"/>
        </w:rPr>
        <w:t xml:space="preserve"> a transparentar su información</w:t>
      </w:r>
      <w:r w:rsidR="004D1499">
        <w:rPr>
          <w:rFonts w:ascii="Palatino Linotype" w:hAnsi="Palatino Linotype" w:cs="Arial"/>
        </w:rPr>
        <w:t>, aunado ello</w:t>
      </w:r>
      <w:r w:rsidR="00A37BF2">
        <w:rPr>
          <w:rFonts w:ascii="Palatino Linotype" w:hAnsi="Palatino Linotype" w:cs="Arial"/>
        </w:rPr>
        <w:t xml:space="preserve">, </w:t>
      </w:r>
      <w:r w:rsidR="004D1499">
        <w:rPr>
          <w:rFonts w:ascii="Palatino Linotype" w:hAnsi="Palatino Linotype" w:cs="Arial"/>
          <w:lang w:eastAsia="es-MX"/>
        </w:rPr>
        <w:t>a</w:t>
      </w:r>
      <w:r w:rsidR="004D1499" w:rsidRPr="008E33B0">
        <w:rPr>
          <w:rFonts w:ascii="Palatino Linotype" w:hAnsi="Palatino Linotype" w:cs="Arial"/>
          <w:lang w:eastAsia="es-MX"/>
        </w:rPr>
        <w:t xml:space="preserve"> los documentos </w:t>
      </w:r>
      <w:r w:rsidR="004D1499">
        <w:rPr>
          <w:rFonts w:ascii="Palatino Linotype" w:hAnsi="Palatino Linotype" w:cs="Arial"/>
          <w:lang w:eastAsia="es-MX"/>
        </w:rPr>
        <w:t>requeridos</w:t>
      </w:r>
      <w:r w:rsidR="004D1499" w:rsidRPr="008E33B0">
        <w:rPr>
          <w:rFonts w:ascii="Palatino Linotype" w:hAnsi="Palatino Linotype" w:cs="Arial"/>
          <w:lang w:eastAsia="es-MX"/>
        </w:rPr>
        <w:t>, no les reviste la calidad de públic</w:t>
      </w:r>
      <w:r w:rsidR="004D1499">
        <w:rPr>
          <w:rFonts w:ascii="Palatino Linotype" w:hAnsi="Palatino Linotype" w:cs="Arial"/>
          <w:lang w:eastAsia="es-MX"/>
        </w:rPr>
        <w:t>o</w:t>
      </w:r>
      <w:r w:rsidR="004D1499" w:rsidRPr="008E33B0">
        <w:rPr>
          <w:rFonts w:ascii="Palatino Linotype" w:hAnsi="Palatino Linotype" w:cs="Arial"/>
          <w:lang w:eastAsia="es-MX"/>
        </w:rPr>
        <w:t>s, en razón de que no s</w:t>
      </w:r>
      <w:r w:rsidR="00C026C0">
        <w:rPr>
          <w:rFonts w:ascii="Palatino Linotype" w:hAnsi="Palatino Linotype" w:cs="Arial"/>
          <w:lang w:eastAsia="es-MX"/>
        </w:rPr>
        <w:t xml:space="preserve">e trata de informaco que refleje el actuar de </w:t>
      </w:r>
      <w:r w:rsidR="004D1499" w:rsidRPr="008E33B0">
        <w:rPr>
          <w:rFonts w:ascii="Palatino Linotype" w:hAnsi="Palatino Linotype" w:cs="Arial"/>
          <w:lang w:eastAsia="es-MX"/>
        </w:rPr>
        <w:t xml:space="preserve">un servidor público en ejercicio de sus funciones, no representan actos de autoridad, y </w:t>
      </w:r>
      <w:r w:rsidR="004D1499">
        <w:rPr>
          <w:rFonts w:ascii="Palatino Linotype" w:hAnsi="Palatino Linotype" w:cs="Arial"/>
          <w:lang w:eastAsia="es-MX"/>
        </w:rPr>
        <w:t>los</w:t>
      </w:r>
      <w:r w:rsidR="004D1499" w:rsidRPr="008E33B0">
        <w:rPr>
          <w:rFonts w:ascii="Palatino Linotype" w:hAnsi="Palatino Linotype" w:cs="Arial"/>
          <w:lang w:eastAsia="es-MX"/>
        </w:rPr>
        <w:t xml:space="preserve"> particulares </w:t>
      </w:r>
      <w:r w:rsidR="00C026C0">
        <w:rPr>
          <w:rFonts w:ascii="Palatino Linotype" w:hAnsi="Palatino Linotype" w:cs="Arial"/>
          <w:lang w:eastAsia="es-MX"/>
        </w:rPr>
        <w:t xml:space="preserve">de quienes se refiere </w:t>
      </w:r>
      <w:r w:rsidR="004D1499">
        <w:rPr>
          <w:rFonts w:ascii="Palatino Linotype" w:hAnsi="Palatino Linotype" w:cs="Arial"/>
          <w:lang w:eastAsia="es-MX"/>
        </w:rPr>
        <w:t>no</w:t>
      </w:r>
      <w:r w:rsidR="004D1499" w:rsidRPr="008E33B0">
        <w:rPr>
          <w:rFonts w:ascii="Palatino Linotype" w:hAnsi="Palatino Linotype" w:cs="Arial"/>
          <w:lang w:eastAsia="es-MX"/>
        </w:rPr>
        <w:t xml:space="preserve"> recib</w:t>
      </w:r>
      <w:r w:rsidR="004D1499">
        <w:rPr>
          <w:rFonts w:ascii="Palatino Linotype" w:hAnsi="Palatino Linotype" w:cs="Arial"/>
          <w:lang w:eastAsia="es-MX"/>
        </w:rPr>
        <w:t>e</w:t>
      </w:r>
      <w:r w:rsidR="004D1499" w:rsidRPr="008E33B0">
        <w:rPr>
          <w:rFonts w:ascii="Palatino Linotype" w:hAnsi="Palatino Linotype" w:cs="Arial"/>
          <w:lang w:eastAsia="es-MX"/>
        </w:rPr>
        <w:t xml:space="preserve">n </w:t>
      </w:r>
      <w:r w:rsidR="004D1499">
        <w:rPr>
          <w:rFonts w:ascii="Palatino Linotype" w:hAnsi="Palatino Linotype" w:cs="Arial"/>
          <w:lang w:eastAsia="es-MX"/>
        </w:rPr>
        <w:t>ni</w:t>
      </w:r>
      <w:r w:rsidR="004D1499" w:rsidRPr="008E33B0">
        <w:rPr>
          <w:rFonts w:ascii="Palatino Linotype" w:hAnsi="Palatino Linotype" w:cs="Arial"/>
          <w:lang w:eastAsia="es-MX"/>
        </w:rPr>
        <w:t xml:space="preserve"> ejer</w:t>
      </w:r>
      <w:r w:rsidR="004D1499">
        <w:rPr>
          <w:rFonts w:ascii="Palatino Linotype" w:hAnsi="Palatino Linotype" w:cs="Arial"/>
          <w:lang w:eastAsia="es-MX"/>
        </w:rPr>
        <w:t>cen</w:t>
      </w:r>
      <w:r w:rsidR="004D1499" w:rsidRPr="008E33B0">
        <w:rPr>
          <w:rFonts w:ascii="Palatino Linotype" w:hAnsi="Palatino Linotype" w:cs="Arial"/>
          <w:lang w:eastAsia="es-MX"/>
        </w:rPr>
        <w:t xml:space="preserve"> recursos públicos en el ámbito estatal o municipal, por lo tanto, son susceptibles de ser clasificadas como información confidencial en términos del artículo 4</w:t>
      </w:r>
      <w:r w:rsidR="00C026C0">
        <w:rPr>
          <w:rFonts w:ascii="Palatino Linotype" w:hAnsi="Palatino Linotype" w:cs="Arial"/>
          <w:lang w:eastAsia="es-MX"/>
        </w:rPr>
        <w:t>,</w:t>
      </w:r>
      <w:r w:rsidR="004D1499" w:rsidRPr="008E33B0">
        <w:rPr>
          <w:rFonts w:ascii="Palatino Linotype" w:hAnsi="Palatino Linotype" w:cs="Arial"/>
          <w:lang w:eastAsia="es-MX"/>
        </w:rPr>
        <w:t xml:space="preserve"> fracción  XI</w:t>
      </w:r>
      <w:r w:rsidR="00F34E3D">
        <w:rPr>
          <w:rFonts w:ascii="Palatino Linotype" w:hAnsi="Palatino Linotype" w:cs="Arial"/>
          <w:lang w:eastAsia="es-MX"/>
        </w:rPr>
        <w:t xml:space="preserve"> de la </w:t>
      </w:r>
      <w:r w:rsidR="00F34E3D" w:rsidRPr="00F34E3D">
        <w:rPr>
          <w:rFonts w:ascii="Palatino Linotype" w:hAnsi="Palatino Linotype" w:cs="Arial"/>
          <w:lang w:eastAsia="es-MX"/>
        </w:rPr>
        <w:t>Ley de Protección de Datos</w:t>
      </w:r>
      <w:r w:rsidR="00F34E3D">
        <w:rPr>
          <w:rFonts w:ascii="Palatino Linotype" w:hAnsi="Palatino Linotype" w:cs="Arial"/>
          <w:lang w:eastAsia="es-MX"/>
        </w:rPr>
        <w:t xml:space="preserve"> </w:t>
      </w:r>
      <w:r w:rsidR="00F34E3D" w:rsidRPr="00F34E3D">
        <w:rPr>
          <w:rFonts w:ascii="Palatino Linotype" w:hAnsi="Palatino Linotype" w:cs="Arial"/>
          <w:lang w:eastAsia="es-MX"/>
        </w:rPr>
        <w:t>Personales en Posesión de Sujetos</w:t>
      </w:r>
      <w:r w:rsidR="00F34E3D">
        <w:rPr>
          <w:rFonts w:ascii="Palatino Linotype" w:hAnsi="Palatino Linotype" w:cs="Arial"/>
          <w:lang w:eastAsia="es-MX"/>
        </w:rPr>
        <w:t xml:space="preserve"> </w:t>
      </w:r>
      <w:r w:rsidR="00F34E3D" w:rsidRPr="00F34E3D">
        <w:rPr>
          <w:rFonts w:ascii="Palatino Linotype" w:hAnsi="Palatino Linotype" w:cs="Arial"/>
          <w:lang w:eastAsia="es-MX"/>
        </w:rPr>
        <w:t>Obligados del Estado de México y</w:t>
      </w:r>
      <w:r w:rsidR="00F34E3D">
        <w:rPr>
          <w:rFonts w:ascii="Palatino Linotype" w:hAnsi="Palatino Linotype" w:cs="Arial"/>
          <w:lang w:eastAsia="es-MX"/>
        </w:rPr>
        <w:t xml:space="preserve"> </w:t>
      </w:r>
      <w:r w:rsidR="00F34E3D" w:rsidRPr="00F34E3D">
        <w:rPr>
          <w:rFonts w:ascii="Palatino Linotype" w:hAnsi="Palatino Linotype" w:cs="Arial"/>
          <w:lang w:eastAsia="es-MX"/>
        </w:rPr>
        <w:t>Municipios.</w:t>
      </w:r>
      <w:r w:rsidR="00F34E3D" w:rsidRPr="008E33B0">
        <w:rPr>
          <w:rFonts w:ascii="Palatino Linotype" w:hAnsi="Palatino Linotype" w:cs="Arial"/>
          <w:lang w:eastAsia="es-MX"/>
        </w:rPr>
        <w:t>:</w:t>
      </w:r>
    </w:p>
    <w:p w:rsidR="004D1499" w:rsidRPr="008E33B0" w:rsidRDefault="004D1499" w:rsidP="004D1499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4D1499" w:rsidRDefault="004D1499" w:rsidP="004D1499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8E33B0">
        <w:rPr>
          <w:rFonts w:ascii="Palatino Linotype" w:hAnsi="Palatino Linotype" w:cs="Arial"/>
          <w:i/>
          <w:sz w:val="22"/>
          <w:lang w:eastAsia="es-MX"/>
        </w:rPr>
        <w:t xml:space="preserve">XI. </w:t>
      </w:r>
      <w:r w:rsidRPr="008E33B0">
        <w:rPr>
          <w:rFonts w:ascii="Palatino Linotype" w:hAnsi="Palatino Linotype" w:cs="Arial"/>
          <w:b/>
          <w:i/>
          <w:sz w:val="22"/>
          <w:lang w:eastAsia="es-MX"/>
        </w:rPr>
        <w:t>Datos personales</w:t>
      </w:r>
      <w:r w:rsidRPr="008E33B0">
        <w:rPr>
          <w:rFonts w:ascii="Palatino Linotype" w:hAnsi="Palatino Linotype" w:cs="Arial"/>
          <w:i/>
          <w:sz w:val="22"/>
          <w:lang w:eastAsia="es-MX"/>
        </w:rPr>
        <w:t xml:space="preserve">: a la información concerniente a una persona física o jurídica colectiva identificada o identificable, establecida en cualquier formato o modalidad, y que esté almacenada en los sistemas y bases de datos, se considerará que una persona es identificable cuando su identidad pueda determinarse directa o indirectamente a través de cualquier documento informativo físico o electrónico. </w:t>
      </w:r>
    </w:p>
    <w:p w:rsidR="00826D09" w:rsidRDefault="00826D09" w:rsidP="004D1499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826D09" w:rsidRPr="008E33B0" w:rsidRDefault="00826D09" w:rsidP="00826D09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8E33B0">
        <w:rPr>
          <w:rFonts w:ascii="Palatino Linotype" w:hAnsi="Palatino Linotype" w:cs="Arial"/>
          <w:i/>
          <w:sz w:val="22"/>
          <w:lang w:eastAsia="es-MX"/>
        </w:rPr>
        <w:lastRenderedPageBreak/>
        <w:t xml:space="preserve">XXI. </w:t>
      </w:r>
      <w:r w:rsidRPr="008E33B0">
        <w:rPr>
          <w:rFonts w:ascii="Palatino Linotype" w:hAnsi="Palatino Linotype" w:cs="Arial"/>
          <w:b/>
          <w:i/>
          <w:sz w:val="22"/>
          <w:lang w:eastAsia="es-MX"/>
        </w:rPr>
        <w:t>Información confidencial</w:t>
      </w:r>
      <w:r w:rsidRPr="008E33B0">
        <w:rPr>
          <w:rFonts w:ascii="Palatino Linotype" w:hAnsi="Palatino Linotype" w:cs="Arial"/>
          <w:i/>
          <w:sz w:val="22"/>
          <w:lang w:eastAsia="es-MX"/>
        </w:rPr>
        <w:t xml:space="preserve">: Se considera como información confidencial los secretos bancario, fiduciario, industrial, </w:t>
      </w:r>
      <w:r w:rsidRPr="00C026C0">
        <w:rPr>
          <w:rFonts w:ascii="Palatino Linotype" w:hAnsi="Palatino Linotype" w:cs="Arial"/>
          <w:i/>
          <w:sz w:val="22"/>
          <w:lang w:eastAsia="es-MX"/>
        </w:rPr>
        <w:t>comercial</w:t>
      </w:r>
      <w:r w:rsidRPr="008E33B0">
        <w:rPr>
          <w:rFonts w:ascii="Palatino Linotype" w:hAnsi="Palatino Linotype" w:cs="Arial"/>
          <w:i/>
          <w:sz w:val="22"/>
          <w:lang w:eastAsia="es-MX"/>
        </w:rPr>
        <w:t xml:space="preserve">, fiscal, bursátil y postal, </w:t>
      </w:r>
      <w:r w:rsidRPr="008E33B0">
        <w:rPr>
          <w:rFonts w:ascii="Palatino Linotype" w:hAnsi="Palatino Linotype" w:cs="Arial"/>
          <w:b/>
          <w:i/>
          <w:sz w:val="22"/>
          <w:lang w:eastAsia="es-MX"/>
        </w:rPr>
        <w:t>cuya titularidad corresponda a particulares</w:t>
      </w:r>
      <w:r w:rsidRPr="008E33B0">
        <w:rPr>
          <w:rFonts w:ascii="Palatino Linotype" w:hAnsi="Palatino Linotype" w:cs="Arial"/>
          <w:i/>
          <w:sz w:val="22"/>
          <w:lang w:eastAsia="es-MX"/>
        </w:rPr>
        <w:t>, sujetos de derecho internacional o a sujetos obligados cuando no involucren el ejercicio de recursos públicos</w:t>
      </w:r>
    </w:p>
    <w:p w:rsidR="00826D09" w:rsidRPr="008E33B0" w:rsidRDefault="00826D09" w:rsidP="004D1499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0C63B2" w:rsidRDefault="004D1499" w:rsidP="000C63B2">
      <w:pPr>
        <w:spacing w:line="360" w:lineRule="auto"/>
        <w:jc w:val="both"/>
        <w:rPr>
          <w:rFonts w:ascii="Palatino Linotype" w:hAnsi="Palatino Linotype" w:cs="Arial"/>
        </w:rPr>
      </w:pPr>
      <w:r w:rsidRPr="008E33B0">
        <w:rPr>
          <w:rFonts w:ascii="Palatino Linotype" w:hAnsi="Palatino Linotype" w:cs="Arial"/>
          <w:lang w:eastAsia="es-MX"/>
        </w:rPr>
        <w:t xml:space="preserve">Entonces, no </w:t>
      </w:r>
      <w:r>
        <w:rPr>
          <w:rFonts w:ascii="Palatino Linotype" w:hAnsi="Palatino Linotype" w:cs="Arial"/>
          <w:lang w:eastAsia="es-MX"/>
        </w:rPr>
        <w:t>es</w:t>
      </w:r>
      <w:r w:rsidRPr="008E33B0">
        <w:rPr>
          <w:rFonts w:ascii="Palatino Linotype" w:hAnsi="Palatino Linotype" w:cs="Arial"/>
          <w:lang w:eastAsia="es-MX"/>
        </w:rPr>
        <w:t xml:space="preserve"> procede</w:t>
      </w:r>
      <w:r>
        <w:rPr>
          <w:rFonts w:ascii="Palatino Linotype" w:hAnsi="Palatino Linotype" w:cs="Arial"/>
          <w:lang w:eastAsia="es-MX"/>
        </w:rPr>
        <w:t>nte</w:t>
      </w:r>
      <w:r w:rsidRPr="008E33B0">
        <w:rPr>
          <w:rFonts w:ascii="Palatino Linotype" w:hAnsi="Palatino Linotype" w:cs="Arial"/>
          <w:lang w:eastAsia="es-MX"/>
        </w:rPr>
        <w:t xml:space="preserve"> la divulgación de la información</w:t>
      </w:r>
      <w:r w:rsidR="005C0FCA">
        <w:rPr>
          <w:rFonts w:ascii="Palatino Linotype" w:hAnsi="Palatino Linotype" w:cs="Arial"/>
          <w:lang w:eastAsia="es-MX"/>
        </w:rPr>
        <w:t xml:space="preserve"> </w:t>
      </w:r>
      <w:r w:rsidRPr="008E33B0">
        <w:rPr>
          <w:rFonts w:ascii="Palatino Linotype" w:hAnsi="Palatino Linotype" w:cs="Arial"/>
          <w:lang w:eastAsia="es-MX"/>
        </w:rPr>
        <w:t>y en consecuencia lo correcto es que hubiese entregado el Acuerdo de Clasificación de l</w:t>
      </w:r>
      <w:r w:rsidR="00C026C0">
        <w:rPr>
          <w:rFonts w:ascii="Palatino Linotype" w:hAnsi="Palatino Linotype" w:cs="Arial"/>
          <w:lang w:eastAsia="es-MX"/>
        </w:rPr>
        <w:t xml:space="preserve">a Información como confidencial de las entrevistas realizadas a </w:t>
      </w:r>
      <w:r w:rsidR="00C026C0" w:rsidRPr="00F34E3D">
        <w:rPr>
          <w:rFonts w:ascii="Palatino Linotype" w:hAnsi="Palatino Linotype" w:cs="Arial"/>
        </w:rPr>
        <w:t xml:space="preserve">los aspirantes a vocales de las 125 juntas municipales </w:t>
      </w:r>
      <w:r w:rsidR="00C026C0">
        <w:rPr>
          <w:rFonts w:ascii="Palatino Linotype" w:hAnsi="Palatino Linotype" w:cs="Arial"/>
        </w:rPr>
        <w:t>y</w:t>
      </w:r>
      <w:r w:rsidR="00C026C0" w:rsidRPr="00F34E3D">
        <w:rPr>
          <w:rFonts w:ascii="Palatino Linotype" w:hAnsi="Palatino Linotype" w:cs="Arial"/>
        </w:rPr>
        <w:t xml:space="preserve"> de las 45 juntas distritales del proceso electoral 2017-2018</w:t>
      </w:r>
      <w:r w:rsidR="00C026C0">
        <w:rPr>
          <w:rFonts w:ascii="Palatino Linotype" w:hAnsi="Palatino Linotype" w:cs="Arial"/>
        </w:rPr>
        <w:t xml:space="preserve"> en su totalidad conforme al articulo 131, 133 y 143 de la Ley de la materia.</w:t>
      </w:r>
    </w:p>
    <w:p w:rsidR="000C63B2" w:rsidRDefault="000C63B2" w:rsidP="000C63B2">
      <w:pPr>
        <w:spacing w:line="360" w:lineRule="auto"/>
        <w:jc w:val="both"/>
        <w:rPr>
          <w:rFonts w:ascii="Palatino Linotype" w:hAnsi="Palatino Linotype" w:cs="Arial"/>
        </w:rPr>
      </w:pP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0C63B2">
        <w:rPr>
          <w:rFonts w:ascii="Palatino Linotype" w:hAnsi="Palatino Linotype" w:cs="Arial"/>
          <w:b/>
          <w:i/>
          <w:sz w:val="22"/>
          <w:lang w:eastAsia="es-MX"/>
        </w:rPr>
        <w:t>Artículo 130</w:t>
      </w:r>
      <w:r w:rsidRPr="000C63B2">
        <w:rPr>
          <w:rFonts w:ascii="Palatino Linotype" w:hAnsi="Palatino Linotype" w:cs="Arial"/>
          <w:i/>
          <w:sz w:val="22"/>
          <w:lang w:eastAsia="es-MX"/>
        </w:rPr>
        <w:t>. Los sujetos obligados deberán aplicar, de manera restrictiva y limitada, las excepciones al derecho de acceso a la información y sólo podrán invocarlas cuando acrediten su procedencia, sin ampliar las excepciones o supuestos de reserva o confidencialidad previstos en la Ley General y la presente Ley, aduciendo analogía o mayoría de razón.</w:t>
      </w: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0C63B2">
        <w:rPr>
          <w:rFonts w:ascii="Palatino Linotype" w:hAnsi="Palatino Linotype" w:cs="Arial"/>
          <w:b/>
          <w:i/>
          <w:sz w:val="22"/>
          <w:lang w:eastAsia="es-MX"/>
        </w:rPr>
        <w:t>Artículo 133</w:t>
      </w:r>
      <w:r w:rsidRPr="000C63B2">
        <w:rPr>
          <w:rFonts w:ascii="Palatino Linotype" w:hAnsi="Palatino Linotype" w:cs="Arial"/>
          <w:i/>
          <w:sz w:val="22"/>
          <w:lang w:eastAsia="es-MX"/>
        </w:rPr>
        <w:t>. Los documentos clasificados total o parcialmente deberán llevar una leyenda que indique tal carácter, la fecha de clasificación, el fundamento legal y, en su caso, el periodo de reserva.</w:t>
      </w:r>
    </w:p>
    <w:p w:rsidR="004D1499" w:rsidRPr="000C63B2" w:rsidRDefault="004D1499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</w:rPr>
      </w:pPr>
      <w:r w:rsidRPr="000C63B2">
        <w:rPr>
          <w:rFonts w:ascii="Palatino Linotype" w:hAnsi="Palatino Linotype" w:cs="Arial"/>
          <w:b/>
          <w:i/>
          <w:sz w:val="22"/>
        </w:rPr>
        <w:t>Artículo 143. Para los efectos de esta Ley se considera información confidencial</w:t>
      </w:r>
      <w:r w:rsidRPr="000C63B2">
        <w:rPr>
          <w:rFonts w:ascii="Palatino Linotype" w:hAnsi="Palatino Linotype" w:cs="Arial"/>
          <w:i/>
          <w:sz w:val="22"/>
        </w:rPr>
        <w:t>, la clasificada como tal, de manera</w:t>
      </w: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</w:rPr>
      </w:pPr>
      <w:r w:rsidRPr="000C63B2">
        <w:rPr>
          <w:rFonts w:ascii="Palatino Linotype" w:hAnsi="Palatino Linotype" w:cs="Arial"/>
          <w:i/>
          <w:sz w:val="22"/>
        </w:rPr>
        <w:t>permanente, por su naturaleza, cuando:</w:t>
      </w:r>
    </w:p>
    <w:p w:rsidR="002B7268" w:rsidRDefault="002B7268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b/>
          <w:i/>
          <w:sz w:val="22"/>
        </w:rPr>
      </w:pP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b/>
          <w:i/>
          <w:sz w:val="22"/>
        </w:rPr>
      </w:pPr>
      <w:r w:rsidRPr="000C63B2">
        <w:rPr>
          <w:rFonts w:ascii="Palatino Linotype" w:hAnsi="Palatino Linotype" w:cs="Arial"/>
          <w:b/>
          <w:i/>
          <w:sz w:val="22"/>
        </w:rPr>
        <w:t>I. Se refiera a la información privada y los datos personales concernientes a una persona física o jurídico colectiva identificada o identificable;</w:t>
      </w: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</w:rPr>
      </w:pPr>
      <w:r w:rsidRPr="000C63B2">
        <w:rPr>
          <w:rFonts w:ascii="Palatino Linotype" w:hAnsi="Palatino Linotype" w:cs="Arial"/>
          <w:i/>
          <w:sz w:val="22"/>
        </w:rPr>
        <w:t>II. Los secretos bancario, fiduciario, industrial, comercial, fiscal, bursátil y postal, cuya titularidad corresponda a particulares, sujetos de derecho internacional o a sujetos obligados cuando no involucren el ejercicio de recursos públicos; y</w:t>
      </w: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</w:rPr>
      </w:pPr>
      <w:r w:rsidRPr="000C63B2">
        <w:rPr>
          <w:rFonts w:ascii="Palatino Linotype" w:hAnsi="Palatino Linotype" w:cs="Arial"/>
          <w:i/>
          <w:sz w:val="22"/>
        </w:rPr>
        <w:t>III. La que presenten los particulares a los sujetos obligados, de conformidad con lo dispuesto por las leyes o los tratados internacionales.</w:t>
      </w:r>
    </w:p>
    <w:p w:rsid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</w:rPr>
      </w:pP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</w:rPr>
      </w:pPr>
      <w:r w:rsidRPr="000C63B2">
        <w:rPr>
          <w:rFonts w:ascii="Palatino Linotype" w:hAnsi="Palatino Linotype" w:cs="Arial"/>
          <w:i/>
          <w:sz w:val="22"/>
        </w:rPr>
        <w:lastRenderedPageBreak/>
        <w:t>La información confidencial no estará sujeta a temporalidad alguna y sólo podrán tener acceso a ella los titulares de la misma, sus representantes y los servidores públicos facultados para ello.</w:t>
      </w:r>
    </w:p>
    <w:p w:rsid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</w:rPr>
      </w:pPr>
    </w:p>
    <w:p w:rsidR="000C63B2" w:rsidRPr="000C63B2" w:rsidRDefault="000C63B2" w:rsidP="000C63B2">
      <w:pPr>
        <w:spacing w:line="240" w:lineRule="atLeast"/>
        <w:ind w:left="709" w:right="902"/>
        <w:jc w:val="both"/>
        <w:rPr>
          <w:rFonts w:ascii="Palatino Linotype" w:hAnsi="Palatino Linotype" w:cs="Arial"/>
          <w:i/>
          <w:sz w:val="22"/>
        </w:rPr>
      </w:pPr>
      <w:r w:rsidRPr="000C63B2">
        <w:rPr>
          <w:rFonts w:ascii="Palatino Linotype" w:hAnsi="Palatino Linotype" w:cs="Arial"/>
          <w:i/>
          <w:sz w:val="22"/>
        </w:rPr>
        <w:t>No se considerará confidencial la información que se encuentre en los registros públicos o en fuentes de acceso público, ni tampoco la que sea considerada por la presente ley como información pública.</w:t>
      </w:r>
    </w:p>
    <w:p w:rsidR="00CB63A8" w:rsidRDefault="00CB63A8" w:rsidP="004A2D78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5C0FCA" w:rsidRDefault="00440036" w:rsidP="005C0FC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 w:cs="Arial"/>
        </w:rPr>
        <w:t xml:space="preserve">Atento a lo expuesto, la que suscribe emite </w:t>
      </w:r>
      <w:r w:rsidRPr="00C8035B">
        <w:rPr>
          <w:rFonts w:ascii="Palatino Linotype" w:hAnsi="Palatino Linotype" w:cs="Arial"/>
          <w:b/>
        </w:rPr>
        <w:t>VOTO PARTICULAR</w:t>
      </w:r>
      <w:r w:rsidRPr="00C8035B">
        <w:rPr>
          <w:rFonts w:ascii="Palatino Linotype" w:hAnsi="Palatino Linotype" w:cs="Arial"/>
        </w:rPr>
        <w:t xml:space="preserve">, pues se insiste que </w:t>
      </w:r>
      <w:r w:rsidR="00682AA1">
        <w:rPr>
          <w:rFonts w:ascii="Palatino Linotype" w:hAnsi="Palatino Linotype" w:cs="Arial"/>
        </w:rPr>
        <w:t xml:space="preserve">tocante a la información que se ordena </w:t>
      </w:r>
      <w:r w:rsidR="006D4AD6">
        <w:rPr>
          <w:rFonts w:ascii="Palatino Linotype" w:hAnsi="Palatino Linotype" w:cs="Arial"/>
        </w:rPr>
        <w:t>relativa a los aspirantes qu</w:t>
      </w:r>
      <w:r w:rsidR="000C63B2">
        <w:rPr>
          <w:rFonts w:ascii="Palatino Linotype" w:hAnsi="Palatino Linotype" w:cs="Arial"/>
        </w:rPr>
        <w:t>e no fueron seleccionados como v</w:t>
      </w:r>
      <w:r w:rsidR="006D4AD6">
        <w:rPr>
          <w:rFonts w:ascii="Palatino Linotype" w:hAnsi="Palatino Linotype" w:cs="Arial"/>
        </w:rPr>
        <w:t>ocales de las juntas distritales y municipales</w:t>
      </w:r>
      <w:r w:rsidR="00682AA1">
        <w:rPr>
          <w:rFonts w:ascii="Palatino Linotype" w:hAnsi="Palatino Linotype" w:cs="Arial"/>
        </w:rPr>
        <w:t xml:space="preserve">, ésta es susceptible de ser clasificada como información confidencial, por lo que no debió ordenarse su entrega y en su caso </w:t>
      </w:r>
      <w:r w:rsidR="000C77C5">
        <w:rPr>
          <w:rFonts w:ascii="Palatino Linotype" w:hAnsi="Palatino Linotype" w:cs="Arial"/>
        </w:rPr>
        <w:t xml:space="preserve">debió ordenarse </w:t>
      </w:r>
      <w:r w:rsidR="00682AA1">
        <w:rPr>
          <w:rFonts w:ascii="Palatino Linotype" w:hAnsi="Palatino Linotype" w:cs="Arial"/>
        </w:rPr>
        <w:t>el A</w:t>
      </w:r>
      <w:r w:rsidR="00682AA1" w:rsidRPr="00682AA1">
        <w:rPr>
          <w:rFonts w:ascii="Palatino Linotype" w:hAnsi="Palatino Linotype" w:cs="Arial"/>
        </w:rPr>
        <w:t>cuerdo de Clasificación de Información en términos de los artículos 49</w:t>
      </w:r>
      <w:r w:rsidR="000C63B2">
        <w:rPr>
          <w:rFonts w:ascii="Palatino Linotype" w:hAnsi="Palatino Linotype" w:cs="Arial"/>
        </w:rPr>
        <w:t>,</w:t>
      </w:r>
      <w:r w:rsidR="00682AA1" w:rsidRPr="00682AA1">
        <w:rPr>
          <w:rFonts w:ascii="Palatino Linotype" w:hAnsi="Palatino Linotype" w:cs="Arial"/>
        </w:rPr>
        <w:t xml:space="preserve"> fracción VIII, 131, 133, 143 fracción I y </w:t>
      </w:r>
      <w:r w:rsidR="005C0FCA">
        <w:rPr>
          <w:rFonts w:ascii="Palatino Linotype" w:hAnsi="Palatino Linotype" w:cs="Arial"/>
        </w:rPr>
        <w:t xml:space="preserve">II y </w:t>
      </w:r>
      <w:r w:rsidR="00682AA1" w:rsidRPr="00682AA1">
        <w:rPr>
          <w:rFonts w:ascii="Palatino Linotype" w:hAnsi="Palatino Linotype" w:cs="Arial"/>
        </w:rPr>
        <w:t>149 de la Ley de Transparencia y Acceso a la Información Pública de</w:t>
      </w:r>
      <w:r w:rsidR="006D4AD6">
        <w:rPr>
          <w:rFonts w:ascii="Palatino Linotype" w:hAnsi="Palatino Linotype" w:cs="Arial"/>
        </w:rPr>
        <w:t>l Estado de México y Municipios</w:t>
      </w:r>
      <w:r w:rsidR="005C0FCA" w:rsidRPr="003E78C6">
        <w:rPr>
          <w:rFonts w:ascii="Palatino Linotype" w:hAnsi="Palatino Linotype"/>
        </w:rPr>
        <w:t>.</w:t>
      </w:r>
    </w:p>
    <w:p w:rsidR="002B7268" w:rsidRPr="003E78C6" w:rsidRDefault="002B7268" w:rsidP="005C0FC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C8035B" w:rsidTr="00174205">
        <w:trPr>
          <w:trHeight w:val="1523"/>
          <w:jc w:val="center"/>
        </w:trPr>
        <w:tc>
          <w:tcPr>
            <w:tcW w:w="4393" w:type="dxa"/>
          </w:tcPr>
          <w:p w:rsidR="009701AB" w:rsidRDefault="009701AB" w:rsidP="004A2D78">
            <w:pPr>
              <w:spacing w:line="360" w:lineRule="auto"/>
              <w:ind w:right="49"/>
              <w:jc w:val="center"/>
              <w:rPr>
                <w:rFonts w:ascii="Palatino Linotype" w:hAnsi="Palatino Linotype"/>
                <w:b/>
              </w:rPr>
            </w:pPr>
          </w:p>
          <w:p w:rsidR="00174205" w:rsidRDefault="00174205" w:rsidP="004A2D78">
            <w:pPr>
              <w:spacing w:line="360" w:lineRule="auto"/>
              <w:ind w:right="49"/>
              <w:jc w:val="center"/>
              <w:rPr>
                <w:rFonts w:ascii="Palatino Linotype" w:hAnsi="Palatino Linotype"/>
                <w:b/>
              </w:rPr>
            </w:pPr>
          </w:p>
          <w:p w:rsidR="00174205" w:rsidRDefault="00174205" w:rsidP="004A2D78">
            <w:pPr>
              <w:spacing w:line="360" w:lineRule="auto"/>
              <w:ind w:right="49"/>
              <w:jc w:val="center"/>
              <w:rPr>
                <w:rFonts w:ascii="Palatino Linotype" w:hAnsi="Palatino Linotype"/>
                <w:b/>
              </w:rPr>
            </w:pPr>
          </w:p>
          <w:p w:rsidR="009701AB" w:rsidRPr="00C8035B" w:rsidRDefault="009701AB" w:rsidP="004A2D78">
            <w:pPr>
              <w:ind w:right="49"/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EVA ABAID YAPUR</w:t>
            </w:r>
          </w:p>
          <w:p w:rsidR="005C0FCA" w:rsidRDefault="009701AB" w:rsidP="00174205">
            <w:pPr>
              <w:ind w:right="49"/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COMISIONADA</w:t>
            </w:r>
          </w:p>
          <w:p w:rsidR="00D73CCB" w:rsidRDefault="00D73CCB" w:rsidP="00174205">
            <w:pPr>
              <w:ind w:right="49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(RUBRICA)</w:t>
            </w:r>
          </w:p>
          <w:p w:rsidR="00D73CCB" w:rsidRPr="00C8035B" w:rsidRDefault="00D73CCB" w:rsidP="00174205">
            <w:pPr>
              <w:ind w:right="49"/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</w:p>
        </w:tc>
      </w:tr>
    </w:tbl>
    <w:p w:rsidR="00174205" w:rsidRPr="00174205" w:rsidRDefault="00174205" w:rsidP="005C0FCA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F34E3D" w:rsidRPr="00174205" w:rsidRDefault="002B7268" w:rsidP="005C0FCA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9701AB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sta hoja corresponde al voto particular emitido en </w:t>
      </w:r>
      <w:r w:rsidR="00F34E3D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 los</w:t>
      </w:r>
      <w:r w:rsidR="005C0FCA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F34E3D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recursos de revisión 03977/INFOEM/IP/RR/2018 y 03978/INFOEM/IP/RR/2018 acumulados</w:t>
      </w:r>
      <w:r w:rsidR="009701AB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F34E3D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="009701AB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101AC9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F34E3D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doce de diciembre</w:t>
      </w:r>
      <w:r w:rsidR="00463EE4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</w:t>
      </w:r>
      <w:r w:rsidR="006D4AD6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ocho</w:t>
      </w:r>
      <w:r w:rsidR="009701AB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A272FC" w:rsidRPr="000C77C5" w:rsidRDefault="009701AB" w:rsidP="005C0FCA">
      <w:pPr>
        <w:ind w:right="49"/>
        <w:jc w:val="both"/>
        <w:rPr>
          <w:sz w:val="22"/>
          <w:szCs w:val="22"/>
        </w:rPr>
      </w:pPr>
      <w:r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682AA1" w:rsidRPr="001742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</w:t>
      </w:r>
    </w:p>
    <w:sectPr w:rsidR="00A272FC" w:rsidRPr="000C77C5" w:rsidSect="004A2D7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08" w:rsidRDefault="00955608" w:rsidP="00E41B3B">
      <w:r>
        <w:separator/>
      </w:r>
    </w:p>
  </w:endnote>
  <w:endnote w:type="continuationSeparator" w:id="0">
    <w:p w:rsidR="00955608" w:rsidRDefault="00955608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6C0" w:rsidRDefault="00C026C0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26C0" w:rsidRDefault="00C026C0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26C0" w:rsidRDefault="00C026C0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26C0" w:rsidRDefault="00C026C0" w:rsidP="00174205">
    <w:pPr>
      <w:pStyle w:val="Piedepgina"/>
      <w:jc w:val="center"/>
      <w:rPr>
        <w:rFonts w:ascii="Palatino Linotype" w:hAnsi="Palatino Linotype" w:cs="Arial"/>
        <w:b/>
        <w:bCs/>
        <w:sz w:val="20"/>
        <w:szCs w:val="20"/>
      </w:rPr>
    </w:pPr>
  </w:p>
  <w:p w:rsidR="00C026C0" w:rsidRPr="00F12350" w:rsidRDefault="00C026C0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73CCB">
      <w:rPr>
        <w:rFonts w:ascii="Palatino Linotype" w:hAnsi="Palatino Linotype" w:cs="Arial"/>
        <w:b/>
        <w:bCs/>
        <w:noProof/>
        <w:sz w:val="20"/>
        <w:szCs w:val="20"/>
      </w:rPr>
      <w:t>8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73CCB">
      <w:rPr>
        <w:rFonts w:ascii="Palatino Linotype" w:hAnsi="Palatino Linotype" w:cs="Arial"/>
        <w:b/>
        <w:bCs/>
        <w:noProof/>
        <w:sz w:val="20"/>
        <w:szCs w:val="20"/>
      </w:rPr>
      <w:t>8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C026C0" w:rsidRDefault="00C026C0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08" w:rsidRDefault="00955608" w:rsidP="00E41B3B">
      <w:r>
        <w:separator/>
      </w:r>
    </w:p>
  </w:footnote>
  <w:footnote w:type="continuationSeparator" w:id="0">
    <w:p w:rsidR="00955608" w:rsidRDefault="00955608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6C0" w:rsidRDefault="00D73CC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6C0" w:rsidRDefault="00C026C0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D73CC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91.6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  <w:p w:rsidR="00C026C0" w:rsidRDefault="00C026C0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C026C0" w:rsidRDefault="00C026C0" w:rsidP="00C814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 </w:t>
    </w:r>
    <w:r w:rsidRPr="00ED4B19">
      <w:rPr>
        <w:rFonts w:ascii="Palatino Linotype" w:hAnsi="Palatino Linotype" w:cs="Arial"/>
        <w:sz w:val="20"/>
        <w:szCs w:val="20"/>
      </w:rPr>
      <w:t>03977/INFOEM/IP/RR/2018</w:t>
    </w:r>
  </w:p>
  <w:p w:rsidR="00C026C0" w:rsidRDefault="00C026C0" w:rsidP="00C814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ED4B19">
      <w:rPr>
        <w:rFonts w:ascii="Palatino Linotype" w:hAnsi="Palatino Linotype" w:cs="Arial"/>
        <w:sz w:val="20"/>
        <w:szCs w:val="20"/>
      </w:rPr>
      <w:t xml:space="preserve"> Y 03978/INFOEM/IP/RR/2018 ACUMULADOS</w:t>
    </w:r>
  </w:p>
  <w:p w:rsidR="00C026C0" w:rsidRDefault="00C026C0" w:rsidP="00ED4B19">
    <w:pPr>
      <w:pStyle w:val="Encabezado"/>
      <w:tabs>
        <w:tab w:val="clear" w:pos="4252"/>
        <w:tab w:val="clear" w:pos="8504"/>
        <w:tab w:val="left" w:pos="2326"/>
      </w:tabs>
      <w:spacing w:after="240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6C0" w:rsidRDefault="00D73CC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67D"/>
    <w:multiLevelType w:val="hybridMultilevel"/>
    <w:tmpl w:val="418642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61AEB"/>
    <w:multiLevelType w:val="hybridMultilevel"/>
    <w:tmpl w:val="E438DF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1120A"/>
    <w:multiLevelType w:val="hybridMultilevel"/>
    <w:tmpl w:val="9AA6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039C2"/>
    <w:multiLevelType w:val="hybridMultilevel"/>
    <w:tmpl w:val="B0984A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A0233"/>
    <w:multiLevelType w:val="hybridMultilevel"/>
    <w:tmpl w:val="A5424D14"/>
    <w:lvl w:ilvl="0" w:tplc="0486E0AC">
      <w:numFmt w:val="bullet"/>
      <w:lvlText w:val="-"/>
      <w:lvlJc w:val="left"/>
      <w:pPr>
        <w:ind w:left="1069" w:hanging="360"/>
      </w:pPr>
      <w:rPr>
        <w:rFonts w:ascii="Palatino Linotype" w:eastAsiaTheme="minorEastAsia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6EA192B"/>
    <w:multiLevelType w:val="hybridMultilevel"/>
    <w:tmpl w:val="A6FE0B12"/>
    <w:lvl w:ilvl="0" w:tplc="F516F6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6770C"/>
    <w:multiLevelType w:val="hybridMultilevel"/>
    <w:tmpl w:val="99BC60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0B9D"/>
    <w:multiLevelType w:val="hybridMultilevel"/>
    <w:tmpl w:val="46DA7ADA"/>
    <w:lvl w:ilvl="0" w:tplc="DA0A6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1AB"/>
    <w:rsid w:val="00017A8B"/>
    <w:rsid w:val="00036109"/>
    <w:rsid w:val="000450C7"/>
    <w:rsid w:val="000479A9"/>
    <w:rsid w:val="00080305"/>
    <w:rsid w:val="00090AAC"/>
    <w:rsid w:val="000A7F22"/>
    <w:rsid w:val="000C63B2"/>
    <w:rsid w:val="000C77C5"/>
    <w:rsid w:val="000D1151"/>
    <w:rsid w:val="00101AC9"/>
    <w:rsid w:val="00122242"/>
    <w:rsid w:val="00135DAD"/>
    <w:rsid w:val="00141D1C"/>
    <w:rsid w:val="00146755"/>
    <w:rsid w:val="00164D8A"/>
    <w:rsid w:val="00174205"/>
    <w:rsid w:val="00174F2A"/>
    <w:rsid w:val="0019398B"/>
    <w:rsid w:val="001A7CEE"/>
    <w:rsid w:val="001B45FD"/>
    <w:rsid w:val="001C3DCD"/>
    <w:rsid w:val="001F2929"/>
    <w:rsid w:val="00216380"/>
    <w:rsid w:val="00270A69"/>
    <w:rsid w:val="00296C85"/>
    <w:rsid w:val="002B7268"/>
    <w:rsid w:val="002C638A"/>
    <w:rsid w:val="0031149D"/>
    <w:rsid w:val="00324EBE"/>
    <w:rsid w:val="003343CD"/>
    <w:rsid w:val="00343A89"/>
    <w:rsid w:val="003948FF"/>
    <w:rsid w:val="003A6D28"/>
    <w:rsid w:val="003C2F6A"/>
    <w:rsid w:val="003C6346"/>
    <w:rsid w:val="003E3A22"/>
    <w:rsid w:val="00420511"/>
    <w:rsid w:val="00437359"/>
    <w:rsid w:val="00440036"/>
    <w:rsid w:val="00446B28"/>
    <w:rsid w:val="00463EE4"/>
    <w:rsid w:val="0046519A"/>
    <w:rsid w:val="0048476A"/>
    <w:rsid w:val="004A2D78"/>
    <w:rsid w:val="004D1499"/>
    <w:rsid w:val="004E6C48"/>
    <w:rsid w:val="00506BBC"/>
    <w:rsid w:val="0053148C"/>
    <w:rsid w:val="00537CDD"/>
    <w:rsid w:val="005874A8"/>
    <w:rsid w:val="005A4D7F"/>
    <w:rsid w:val="005C0FCA"/>
    <w:rsid w:val="005C7C8F"/>
    <w:rsid w:val="005F3E71"/>
    <w:rsid w:val="0065035B"/>
    <w:rsid w:val="00654FE9"/>
    <w:rsid w:val="00672FC7"/>
    <w:rsid w:val="00674996"/>
    <w:rsid w:val="006801D4"/>
    <w:rsid w:val="00682AA1"/>
    <w:rsid w:val="006838B2"/>
    <w:rsid w:val="00697966"/>
    <w:rsid w:val="006A1C64"/>
    <w:rsid w:val="006A78C2"/>
    <w:rsid w:val="006B109D"/>
    <w:rsid w:val="006B30CD"/>
    <w:rsid w:val="006D4AD6"/>
    <w:rsid w:val="00712C80"/>
    <w:rsid w:val="007170C1"/>
    <w:rsid w:val="00725B3B"/>
    <w:rsid w:val="007277F6"/>
    <w:rsid w:val="00732411"/>
    <w:rsid w:val="00733C54"/>
    <w:rsid w:val="00756313"/>
    <w:rsid w:val="00767B65"/>
    <w:rsid w:val="00782E9A"/>
    <w:rsid w:val="007C3451"/>
    <w:rsid w:val="007C7A0C"/>
    <w:rsid w:val="007F1F51"/>
    <w:rsid w:val="00811B0B"/>
    <w:rsid w:val="00820D1B"/>
    <w:rsid w:val="00826D09"/>
    <w:rsid w:val="00842E34"/>
    <w:rsid w:val="008457D1"/>
    <w:rsid w:val="008542C4"/>
    <w:rsid w:val="00864D3F"/>
    <w:rsid w:val="008A35FA"/>
    <w:rsid w:val="008B0732"/>
    <w:rsid w:val="008C16DF"/>
    <w:rsid w:val="008E5C82"/>
    <w:rsid w:val="008F0D8C"/>
    <w:rsid w:val="008F34EF"/>
    <w:rsid w:val="00955608"/>
    <w:rsid w:val="009701AB"/>
    <w:rsid w:val="00972394"/>
    <w:rsid w:val="00990B93"/>
    <w:rsid w:val="009B3920"/>
    <w:rsid w:val="009B519C"/>
    <w:rsid w:val="009D1CB5"/>
    <w:rsid w:val="00A272FC"/>
    <w:rsid w:val="00A37BF2"/>
    <w:rsid w:val="00A502D2"/>
    <w:rsid w:val="00A66652"/>
    <w:rsid w:val="00A956B4"/>
    <w:rsid w:val="00A96975"/>
    <w:rsid w:val="00A97455"/>
    <w:rsid w:val="00AE18DA"/>
    <w:rsid w:val="00AE2464"/>
    <w:rsid w:val="00AE7810"/>
    <w:rsid w:val="00B17086"/>
    <w:rsid w:val="00B51260"/>
    <w:rsid w:val="00B64194"/>
    <w:rsid w:val="00B716F8"/>
    <w:rsid w:val="00BD4FD3"/>
    <w:rsid w:val="00C026C0"/>
    <w:rsid w:val="00C07CE2"/>
    <w:rsid w:val="00C33AE1"/>
    <w:rsid w:val="00C52D7C"/>
    <w:rsid w:val="00C60EC0"/>
    <w:rsid w:val="00C70E10"/>
    <w:rsid w:val="00C8035B"/>
    <w:rsid w:val="00C81447"/>
    <w:rsid w:val="00CB63A8"/>
    <w:rsid w:val="00CB71BF"/>
    <w:rsid w:val="00CC4E44"/>
    <w:rsid w:val="00CD7154"/>
    <w:rsid w:val="00CE0D21"/>
    <w:rsid w:val="00CE1537"/>
    <w:rsid w:val="00CE70C8"/>
    <w:rsid w:val="00D22D52"/>
    <w:rsid w:val="00D724F4"/>
    <w:rsid w:val="00D73CCB"/>
    <w:rsid w:val="00D909EF"/>
    <w:rsid w:val="00DC0116"/>
    <w:rsid w:val="00DC566E"/>
    <w:rsid w:val="00DC5C4E"/>
    <w:rsid w:val="00DC6C4E"/>
    <w:rsid w:val="00DF4164"/>
    <w:rsid w:val="00E15CE2"/>
    <w:rsid w:val="00E20B21"/>
    <w:rsid w:val="00E415A4"/>
    <w:rsid w:val="00E41B3B"/>
    <w:rsid w:val="00E441F3"/>
    <w:rsid w:val="00E44E5C"/>
    <w:rsid w:val="00E55769"/>
    <w:rsid w:val="00E77C64"/>
    <w:rsid w:val="00EA0656"/>
    <w:rsid w:val="00ED3750"/>
    <w:rsid w:val="00ED4B19"/>
    <w:rsid w:val="00ED78BB"/>
    <w:rsid w:val="00F04176"/>
    <w:rsid w:val="00F26150"/>
    <w:rsid w:val="00F34E3D"/>
    <w:rsid w:val="00F4326E"/>
    <w:rsid w:val="00F452C7"/>
    <w:rsid w:val="00F50C10"/>
    <w:rsid w:val="00F64CC1"/>
    <w:rsid w:val="00F9070F"/>
    <w:rsid w:val="00FA0BF5"/>
    <w:rsid w:val="00FC2815"/>
    <w:rsid w:val="00FC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2844447-DF67-4C1B-B45F-32B00DD3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E15C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15C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4A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B232-888B-4A71-892A-393B2762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2002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antonio vazquez alcantara</cp:lastModifiedBy>
  <cp:revision>6</cp:revision>
  <cp:lastPrinted>2018-12-17T18:34:00Z</cp:lastPrinted>
  <dcterms:created xsi:type="dcterms:W3CDTF">2018-12-12T20:17:00Z</dcterms:created>
  <dcterms:modified xsi:type="dcterms:W3CDTF">2019-01-24T01:50:00Z</dcterms:modified>
</cp:coreProperties>
</file>